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0" w:lineRule="exact"/>
        <w:rPr>
          <w:rFonts w:ascii="黑体" w:hAnsi="宋体" w:eastAsia="黑体"/>
          <w:color w:val="000000"/>
          <w:kern w:val="0"/>
          <w:sz w:val="32"/>
          <w:szCs w:val="32"/>
        </w:rPr>
      </w:pPr>
    </w:p>
    <w:p>
      <w:pPr>
        <w:spacing w:line="380" w:lineRule="exact"/>
        <w:rPr>
          <w:rFonts w:ascii="黑体" w:hAnsi="宋体" w:eastAsia="黑体"/>
          <w:color w:val="000000"/>
          <w:kern w:val="0"/>
          <w:sz w:val="30"/>
          <w:szCs w:val="30"/>
        </w:rPr>
      </w:pPr>
    </w:p>
    <w:p>
      <w:pPr>
        <w:spacing w:line="760" w:lineRule="exact"/>
        <w:rPr>
          <w:rFonts w:ascii="黑体" w:hAnsi="宋体" w:eastAsia="黑体"/>
          <w:color w:val="FF0000"/>
          <w:kern w:val="0"/>
          <w:sz w:val="30"/>
          <w:szCs w:val="30"/>
        </w:rPr>
      </w:pPr>
      <w:bookmarkStart w:id="0" w:name="_GoBack"/>
      <w:bookmarkEnd w:id="0"/>
    </w:p>
    <w:p>
      <w:pPr>
        <w:jc w:val="center"/>
        <w:rPr>
          <w:rFonts w:ascii="方正小标宋简体" w:hAnsi="宋体" w:eastAsia="方正小标宋简体"/>
          <w:color w:val="FF0000"/>
          <w:spacing w:val="266"/>
          <w:w w:val="72"/>
          <w:kern w:val="0"/>
          <w:sz w:val="72"/>
          <w:szCs w:val="72"/>
        </w:rPr>
      </w:pPr>
      <w:r>
        <w:rPr>
          <w:rFonts w:hint="eastAsia" w:ascii="方正小标宋简体" w:hAnsi="宋体" w:eastAsia="方正小标宋简体"/>
          <w:color w:val="FF0000"/>
          <w:spacing w:val="62"/>
          <w:w w:val="100"/>
          <w:kern w:val="0"/>
          <w:sz w:val="72"/>
          <w:szCs w:val="72"/>
          <w:fitText w:val="8320" w:id="184295936"/>
        </w:rPr>
        <w:t>上海市教育委员会文</w:t>
      </w:r>
      <w:r>
        <w:rPr>
          <w:rFonts w:hint="eastAsia" w:ascii="方正小标宋简体" w:hAnsi="宋体" w:eastAsia="方正小标宋简体"/>
          <w:color w:val="FF0000"/>
          <w:spacing w:val="2"/>
          <w:w w:val="100"/>
          <w:kern w:val="0"/>
          <w:sz w:val="72"/>
          <w:szCs w:val="72"/>
          <w:fitText w:val="8320" w:id="184295936"/>
        </w:rPr>
        <w:t>件</w:t>
      </w:r>
    </w:p>
    <w:p>
      <w:pPr>
        <w:spacing w:line="580" w:lineRule="exact"/>
        <w:rPr>
          <w:rFonts w:ascii="黑体" w:hAnsi="华文中宋" w:eastAsia="黑体"/>
          <w:sz w:val="30"/>
          <w:szCs w:val="30"/>
        </w:rPr>
      </w:pPr>
    </w:p>
    <w:p>
      <w:pPr>
        <w:spacing w:line="580" w:lineRule="exact"/>
        <w:rPr>
          <w:rFonts w:ascii="文鼎大标宋简" w:hAnsi="华文中宋" w:eastAsia="文鼎大标宋简"/>
          <w:sz w:val="36"/>
          <w:szCs w:val="36"/>
        </w:rPr>
      </w:pPr>
    </w:p>
    <w:p>
      <w:pPr>
        <w:widowControl w:val="0"/>
        <w:pBdr>
          <w:top w:val="none" w:color="auto" w:sz="0" w:space="1"/>
          <w:left w:val="none" w:color="auto" w:sz="0" w:space="4"/>
          <w:bottom w:val="single" w:color="FF0000" w:sz="12" w:space="1"/>
          <w:right w:val="none" w:color="auto" w:sz="0" w:space="4"/>
          <w:between w:val="none" w:color="auto" w:sz="0" w:space="0"/>
        </w:pBdr>
        <w:spacing w:line="560" w:lineRule="exact"/>
        <w:ind w:right="31" w:rightChars="15"/>
        <w:jc w:val="center"/>
        <w:rPr>
          <w:rFonts w:ascii="仿宋_GB2312" w:eastAsia="仿宋_GB2312"/>
          <w:sz w:val="32"/>
        </w:rPr>
      </w:pPr>
      <w:r>
        <w:rPr>
          <w:rFonts w:hint="eastAsia" w:ascii="仿宋_GB2312" w:eastAsia="仿宋_GB2312"/>
          <w:sz w:val="30"/>
          <w:szCs w:val="30"/>
        </w:rPr>
        <w:t>沪教委</w:t>
      </w:r>
      <w:r>
        <w:rPr>
          <w:rFonts w:hint="eastAsia" w:ascii="仿宋_GB2312" w:eastAsia="仿宋_GB2312"/>
          <w:sz w:val="30"/>
          <w:szCs w:val="30"/>
          <w:lang w:eastAsia="zh-CN"/>
        </w:rPr>
        <w:t>科</w:t>
      </w:r>
      <w:r>
        <w:rPr>
          <w:rFonts w:ascii="仿宋_GB2312" w:eastAsia="仿宋_GB2312"/>
          <w:sz w:val="30"/>
          <w:szCs w:val="30"/>
        </w:rPr>
        <w:t>〔</w:t>
      </w:r>
      <w:r>
        <w:rPr>
          <w:rFonts w:hint="eastAsia" w:ascii="仿宋_GB2312" w:eastAsia="仿宋_GB2312"/>
          <w:sz w:val="30"/>
          <w:szCs w:val="30"/>
        </w:rPr>
        <w:t>202</w:t>
      </w:r>
      <w:r>
        <w:rPr>
          <w:rFonts w:hint="eastAsia" w:ascii="仿宋_GB2312" w:eastAsia="仿宋_GB2312"/>
          <w:sz w:val="30"/>
          <w:szCs w:val="30"/>
          <w:lang w:val="en-US" w:eastAsia="zh-CN"/>
        </w:rPr>
        <w:t>4</w:t>
      </w:r>
      <w:r>
        <w:rPr>
          <w:rFonts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号                       </w:t>
      </w:r>
    </w:p>
    <w:p>
      <w:pPr>
        <w:spacing w:line="560" w:lineRule="exact"/>
        <w:jc w:val="center"/>
        <w:rPr>
          <w:rFonts w:ascii="仿宋_GB2312" w:eastAsia="仿宋_GB2312"/>
          <w:sz w:val="32"/>
        </w:rPr>
      </w:pPr>
    </w:p>
    <w:p>
      <w:pPr>
        <w:spacing w:line="560" w:lineRule="exact"/>
        <w:jc w:val="center"/>
        <w:rPr>
          <w:rFonts w:ascii="仿宋_GB2312" w:eastAsia="仿宋_GB2312"/>
          <w:sz w:val="32"/>
        </w:rPr>
      </w:pPr>
    </w:p>
    <w:p>
      <w:pPr>
        <w:spacing w:line="600" w:lineRule="exact"/>
        <w:jc w:val="center"/>
        <w:rPr>
          <w:rFonts w:ascii="方正小标宋简体" w:eastAsia="方正小标宋简体"/>
          <w:sz w:val="38"/>
          <w:szCs w:val="38"/>
        </w:rPr>
      </w:pPr>
      <w:r>
        <w:rPr>
          <w:rFonts w:hint="eastAsia" w:ascii="方正小标宋简体" w:eastAsia="方正小标宋简体"/>
          <w:sz w:val="38"/>
          <w:szCs w:val="38"/>
        </w:rPr>
        <w:t>上海市教育委员会关于组织申报202</w:t>
      </w:r>
      <w:r>
        <w:rPr>
          <w:rFonts w:hint="eastAsia" w:ascii="方正小标宋简体" w:eastAsia="方正小标宋简体"/>
          <w:sz w:val="38"/>
          <w:szCs w:val="38"/>
          <w:lang w:val="en-US" w:eastAsia="zh-CN"/>
        </w:rPr>
        <w:t>5</w:t>
      </w:r>
      <w:r>
        <w:rPr>
          <w:rFonts w:hint="eastAsia" w:ascii="方正小标宋简体" w:eastAsia="方正小标宋简体"/>
          <w:sz w:val="38"/>
          <w:szCs w:val="38"/>
        </w:rPr>
        <w:t>年度</w:t>
      </w:r>
    </w:p>
    <w:p>
      <w:pPr>
        <w:spacing w:line="560" w:lineRule="exact"/>
        <w:jc w:val="center"/>
        <w:rPr>
          <w:rFonts w:ascii="方正小标宋简体" w:eastAsia="方正小标宋简体"/>
          <w:sz w:val="38"/>
          <w:szCs w:val="38"/>
        </w:rPr>
      </w:pPr>
      <w:r>
        <w:rPr>
          <w:rFonts w:hint="eastAsia" w:ascii="方正小标宋简体" w:eastAsia="方正小标宋简体"/>
          <w:sz w:val="38"/>
          <w:szCs w:val="38"/>
        </w:rPr>
        <w:t>上海市教育科学研究项目的通知</w:t>
      </w:r>
    </w:p>
    <w:p>
      <w:pPr>
        <w:keepNext w:val="0"/>
        <w:keepLines w:val="0"/>
        <w:pageBreakBefore w:val="0"/>
        <w:widowControl w:val="0"/>
        <w:kinsoku/>
        <w:wordWrap/>
        <w:overflowPunct/>
        <w:topLinePunct w:val="0"/>
        <w:autoSpaceDE/>
        <w:autoSpaceDN/>
        <w:bidi w:val="0"/>
        <w:spacing w:line="500" w:lineRule="exact"/>
        <w:jc w:val="left"/>
        <w:textAlignment w:val="auto"/>
        <w:rPr>
          <w:rFonts w:hint="eastAsia" w:ascii="仿宋_GB2312" w:eastAsia="仿宋_GB2312"/>
          <w:sz w:val="30"/>
          <w:szCs w:val="30"/>
        </w:rPr>
      </w:pPr>
    </w:p>
    <w:p>
      <w:pPr>
        <w:keepNext w:val="0"/>
        <w:keepLines w:val="0"/>
        <w:pageBreakBefore w:val="0"/>
        <w:widowControl w:val="0"/>
        <w:kinsoku/>
        <w:wordWrap/>
        <w:overflowPunct/>
        <w:topLinePunct w:val="0"/>
        <w:autoSpaceDE/>
        <w:autoSpaceDN/>
        <w:bidi w:val="0"/>
        <w:spacing w:line="500" w:lineRule="exact"/>
        <w:jc w:val="left"/>
        <w:textAlignment w:val="auto"/>
        <w:rPr>
          <w:rFonts w:ascii="仿宋_GB2312" w:eastAsia="仿宋_GB2312"/>
          <w:sz w:val="30"/>
          <w:szCs w:val="30"/>
        </w:rPr>
      </w:pPr>
      <w:r>
        <w:rPr>
          <w:rFonts w:hint="eastAsia" w:ascii="仿宋_GB2312" w:eastAsia="仿宋_GB2312"/>
          <w:sz w:val="30"/>
          <w:szCs w:val="30"/>
        </w:rPr>
        <w:t>各高等学校，各区教育局，各有关单位：</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根据《上海市教育科学研究项目管理办法（2019年修订）》</w:t>
      </w:r>
      <w:r>
        <w:rPr>
          <w:rFonts w:hint="eastAsia" w:ascii="仿宋_GB2312" w:eastAsia="仿宋_GB2312"/>
          <w:sz w:val="30"/>
          <w:szCs w:val="30"/>
          <w:lang w:eastAsia="zh-CN"/>
        </w:rPr>
        <w:t>和《上海市市级教育财政科研类项目经费管理办法（2023年修订）》</w:t>
      </w:r>
      <w:r>
        <w:rPr>
          <w:rFonts w:hint="eastAsia" w:ascii="仿宋_GB2312" w:eastAsia="仿宋_GB2312"/>
          <w:sz w:val="30"/>
          <w:szCs w:val="30"/>
        </w:rPr>
        <w:t>的规定，为做好202</w:t>
      </w:r>
      <w:r>
        <w:rPr>
          <w:rFonts w:hint="eastAsia" w:ascii="仿宋_GB2312" w:eastAsia="仿宋_GB2312"/>
          <w:sz w:val="30"/>
          <w:szCs w:val="30"/>
          <w:lang w:val="en-US" w:eastAsia="zh-CN"/>
        </w:rPr>
        <w:t>5</w:t>
      </w:r>
      <w:r>
        <w:rPr>
          <w:rFonts w:hint="eastAsia" w:ascii="仿宋_GB2312" w:eastAsia="仿宋_GB2312"/>
          <w:sz w:val="30"/>
          <w:szCs w:val="30"/>
        </w:rPr>
        <w:t>年度上海市教育科学研究项目申报工作，现将有关要求通知如下：</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黑体" w:hAnsi="黑体" w:eastAsia="黑体"/>
          <w:sz w:val="30"/>
          <w:szCs w:val="30"/>
        </w:rPr>
      </w:pPr>
      <w:r>
        <w:rPr>
          <w:rFonts w:hint="eastAsia" w:ascii="黑体" w:hAnsi="黑体" w:eastAsia="黑体"/>
          <w:sz w:val="30"/>
          <w:szCs w:val="30"/>
        </w:rPr>
        <w:t>一、申报类别</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本次申报的项目包括上海市哲学社会科学规划教育学一般项目、上海市哲学社会科学规划教育学青年项目、上海市教育科学研究一般项目。</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上海市哲学社会科学规划教育学一般项目和上海市哲学社会科学规划教育学青年项目须自拟项目名称进行申报。</w:t>
      </w:r>
    </w:p>
    <w:p>
      <w:pPr>
        <w:keepNext w:val="0"/>
        <w:keepLines w:val="0"/>
        <w:pageBreakBefore w:val="0"/>
        <w:widowControl w:val="0"/>
        <w:kinsoku/>
        <w:wordWrap/>
        <w:overflowPunct/>
        <w:topLinePunct w:val="0"/>
        <w:autoSpaceDE/>
        <w:autoSpaceDN/>
        <w:bidi w:val="0"/>
        <w:spacing w:line="500" w:lineRule="exact"/>
        <w:ind w:firstLine="576" w:firstLineChars="200"/>
        <w:jc w:val="left"/>
        <w:textAlignment w:val="auto"/>
        <w:rPr>
          <w:rFonts w:ascii="仿宋_GB2312" w:eastAsia="仿宋_GB2312"/>
          <w:spacing w:val="-6"/>
          <w:sz w:val="30"/>
          <w:szCs w:val="30"/>
        </w:rPr>
      </w:pPr>
      <w:r>
        <w:rPr>
          <w:rFonts w:hint="eastAsia" w:ascii="仿宋_GB2312" w:eastAsia="仿宋_GB2312"/>
          <w:spacing w:val="-6"/>
          <w:sz w:val="30"/>
          <w:szCs w:val="30"/>
        </w:rPr>
        <w:t>上海市教育科学研究一般项目可以选择《202</w:t>
      </w:r>
      <w:r>
        <w:rPr>
          <w:rFonts w:hint="eastAsia" w:ascii="仿宋_GB2312" w:eastAsia="仿宋_GB2312"/>
          <w:spacing w:val="-6"/>
          <w:sz w:val="30"/>
          <w:szCs w:val="30"/>
          <w:lang w:val="en-US" w:eastAsia="zh-CN"/>
        </w:rPr>
        <w:t>5</w:t>
      </w:r>
      <w:r>
        <w:rPr>
          <w:rFonts w:hint="eastAsia" w:ascii="仿宋_GB2312" w:eastAsia="仿宋_GB2312"/>
          <w:spacing w:val="-6"/>
          <w:sz w:val="30"/>
          <w:szCs w:val="30"/>
        </w:rPr>
        <w:t>年度上海市教育科学研究一般项目指南》（以下简称《指南》，见附件1）中的项目名称进行申报，也可以自拟项目名称进行申报。选择《指南》进行申报的项目，其名称须与《指南》保持完全一致，不得自行更改或添加副标题。为进一步贯彻落实全国教育大会精神，研究阐释习近平总书记关于教育的重要论述，《指南》设立习近平总书记关于教育</w:t>
      </w:r>
      <w:r>
        <w:rPr>
          <w:rFonts w:hint="default" w:ascii="仿宋_GB2312" w:eastAsia="仿宋_GB2312"/>
          <w:spacing w:val="-6"/>
          <w:sz w:val="30"/>
          <w:szCs w:val="30"/>
        </w:rPr>
        <w:t>的</w:t>
      </w:r>
      <w:r>
        <w:rPr>
          <w:rFonts w:hint="eastAsia" w:ascii="仿宋_GB2312" w:eastAsia="仿宋_GB2312"/>
          <w:spacing w:val="-6"/>
          <w:sz w:val="30"/>
          <w:szCs w:val="30"/>
        </w:rPr>
        <w:t>重要论述专题研究。</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楷体_GB2312" w:eastAsia="楷体_GB2312"/>
          <w:sz w:val="30"/>
          <w:szCs w:val="30"/>
        </w:rPr>
      </w:pPr>
      <w:r>
        <w:rPr>
          <w:rFonts w:hint="eastAsia" w:ascii="楷体_GB2312" w:eastAsia="楷体_GB2312"/>
          <w:sz w:val="30"/>
          <w:szCs w:val="30"/>
        </w:rPr>
        <w:t>（一）上海市哲学社会科学规划教育学一般项目</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上海市哲学社会科学规划教育学一般项目，鼓励广大教育工作者围绕教育改革和发展的重点领域开展教育理论和实践创新探索，研究周期为3年，资助标准为8万元/项。</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楷体_GB2312" w:eastAsia="楷体_GB2312"/>
          <w:sz w:val="30"/>
          <w:szCs w:val="30"/>
        </w:rPr>
      </w:pPr>
      <w:r>
        <w:rPr>
          <w:rFonts w:hint="eastAsia" w:ascii="楷体_GB2312" w:eastAsia="楷体_GB2312"/>
          <w:sz w:val="30"/>
          <w:szCs w:val="30"/>
        </w:rPr>
        <w:t>（二）上海市哲学社会科学规划教育学青年项目</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上海市哲学社会科学规划教育学青年项目，鼓励青年教育工作者围绕教育改革和发展的重点领域开展教育理论和实践创新探索，研究周期为3年，资助标准为6万元/项。</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楷体_GB2312" w:eastAsia="楷体_GB2312"/>
          <w:sz w:val="30"/>
          <w:szCs w:val="30"/>
        </w:rPr>
      </w:pPr>
      <w:r>
        <w:rPr>
          <w:rFonts w:hint="eastAsia" w:ascii="楷体_GB2312" w:eastAsia="楷体_GB2312"/>
          <w:sz w:val="30"/>
          <w:szCs w:val="30"/>
        </w:rPr>
        <w:t>（三）上海市教育科学研究一般项目</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hint="eastAsia" w:ascii="仿宋_GB2312" w:eastAsia="仿宋_GB2312"/>
          <w:sz w:val="30"/>
          <w:szCs w:val="30"/>
        </w:rPr>
      </w:pPr>
      <w:r>
        <w:rPr>
          <w:rFonts w:hint="eastAsia" w:ascii="仿宋_GB2312" w:eastAsia="仿宋_GB2312"/>
          <w:sz w:val="30"/>
          <w:szCs w:val="30"/>
        </w:rPr>
        <w:t>上海市教育科学研究一般项目，鼓励学校一线教育工作者积极关注教育实践中的现实性、应用性问题，开展多样化、个性化、特色化的教育科学研究，研究周期为3年，资助标准为5万元/项。</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hint="eastAsia" w:ascii="仿宋_GB2312" w:eastAsia="仿宋_GB2312"/>
          <w:sz w:val="30"/>
          <w:szCs w:val="30"/>
        </w:rPr>
      </w:pPr>
      <w:r>
        <w:rPr>
          <w:rFonts w:hint="eastAsia" w:ascii="仿宋_GB2312" w:eastAsia="仿宋_GB2312"/>
          <w:sz w:val="30"/>
          <w:szCs w:val="30"/>
        </w:rPr>
        <w:t>202</w:t>
      </w:r>
      <w:r>
        <w:rPr>
          <w:rFonts w:hint="eastAsia" w:ascii="仿宋_GB2312" w:eastAsia="仿宋_GB2312"/>
          <w:sz w:val="30"/>
          <w:szCs w:val="30"/>
          <w:lang w:val="en-US" w:eastAsia="zh-CN"/>
        </w:rPr>
        <w:t>5</w:t>
      </w:r>
      <w:r>
        <w:rPr>
          <w:rFonts w:hint="eastAsia" w:ascii="仿宋_GB2312" w:eastAsia="仿宋_GB2312"/>
          <w:sz w:val="30"/>
          <w:szCs w:val="30"/>
        </w:rPr>
        <w:t>年度上海市教育科学研究项目还设立上海高校哲学社会科学专项，具体申报要求另行通知。</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黑体" w:hAnsi="黑体" w:eastAsia="黑体"/>
          <w:sz w:val="30"/>
          <w:szCs w:val="30"/>
        </w:rPr>
      </w:pPr>
      <w:r>
        <w:rPr>
          <w:rFonts w:hint="eastAsia" w:ascii="黑体" w:hAnsi="黑体" w:eastAsia="黑体"/>
          <w:sz w:val="30"/>
          <w:szCs w:val="30"/>
        </w:rPr>
        <w:t>二、申报条件</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上海市教育科学研究项目的申请人应符合以下条件：</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（一）遵守中华人民共和国宪法和法律。</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（二）须是申请单位的全职在岗人员。</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（三）须是项目的实际主持者，具有独立开展研究和组织开展研究的能力，能够承担实质性研究工作。</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四）申请人只能申报1个项目，特别提醒不能同时申报上海高校哲学社会科学专项。在申报截止日之前，已作为项目负责人承担在研的省部级及以上项目或者承担在研的上海市教育科学研究项目的人员，不得申请。</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（五）不得以本人或项目组已获得过资助的项目，内容相同或相近选题申报上海市教育科学研究项目。</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（六）20</w:t>
      </w:r>
      <w:r>
        <w:rPr>
          <w:rFonts w:ascii="仿宋_GB2312" w:eastAsia="仿宋_GB2312"/>
          <w:sz w:val="30"/>
          <w:szCs w:val="30"/>
        </w:rPr>
        <w:t>2</w:t>
      </w:r>
      <w:r>
        <w:rPr>
          <w:rFonts w:hint="eastAsia" w:ascii="仿宋_GB2312" w:eastAsia="仿宋_GB2312"/>
          <w:sz w:val="30"/>
          <w:szCs w:val="30"/>
          <w:lang w:val="en-US" w:eastAsia="zh-CN"/>
        </w:rPr>
        <w:t>4</w:t>
      </w:r>
      <w:r>
        <w:rPr>
          <w:rFonts w:hint="eastAsia" w:ascii="仿宋_GB2312" w:eastAsia="仿宋_GB2312"/>
          <w:sz w:val="30"/>
          <w:szCs w:val="30"/>
        </w:rPr>
        <w:t>年度申报国家社科基金项目、国家自然科学基金以及其他国家级、省部级科研项目的项目申请人，不得申请。</w:t>
      </w:r>
    </w:p>
    <w:p>
      <w:pPr>
        <w:keepNext w:val="0"/>
        <w:keepLines w:val="0"/>
        <w:pageBreakBefore w:val="0"/>
        <w:widowControl w:val="0"/>
        <w:kinsoku/>
        <w:wordWrap/>
        <w:overflowPunct/>
        <w:topLinePunct w:val="0"/>
        <w:autoSpaceDE/>
        <w:autoSpaceDN/>
        <w:bidi w:val="0"/>
        <w:spacing w:line="500" w:lineRule="exact"/>
        <w:ind w:firstLine="592" w:firstLineChars="200"/>
        <w:jc w:val="left"/>
        <w:textAlignment w:val="auto"/>
        <w:rPr>
          <w:rFonts w:ascii="仿宋_GB2312" w:eastAsia="仿宋_GB2312"/>
          <w:spacing w:val="-2"/>
          <w:sz w:val="30"/>
          <w:szCs w:val="30"/>
        </w:rPr>
      </w:pPr>
      <w:r>
        <w:rPr>
          <w:rFonts w:hint="eastAsia" w:ascii="仿宋_GB2312" w:eastAsia="仿宋_GB2312"/>
          <w:spacing w:val="-2"/>
          <w:sz w:val="30"/>
          <w:szCs w:val="30"/>
        </w:rPr>
        <w:t>（七）申请哲学社会科学规划教育学一般项目应具有副高级及以上专业技术职务（职称），或者具有博士学位。不具有副高级及以上专业技术职务或博士学位的基础教育单位申请人，须由两名同一学科、具有副高级及以上专业技术职务人员的书面推荐；不具有副高级及以上专业技术职务或博士学位的高等学校和专业机构的申请人，须由两名同一学科、具有正高级专业技术职务人员的书面推荐。哲学社会科学规划教育学青年项目的申请人年龄不超过35周岁（</w:t>
      </w:r>
      <w:r>
        <w:rPr>
          <w:rFonts w:hint="eastAsia" w:ascii="仿宋_GB2312" w:eastAsia="仿宋_GB2312"/>
          <w:spacing w:val="-2"/>
          <w:sz w:val="30"/>
          <w:szCs w:val="30"/>
          <w:lang w:val="en-US" w:eastAsia="zh-CN"/>
        </w:rPr>
        <w:t>1990</w:t>
      </w:r>
      <w:r>
        <w:rPr>
          <w:rFonts w:hint="eastAsia" w:ascii="仿宋_GB2312" w:eastAsia="仿宋_GB2312"/>
          <w:spacing w:val="-2"/>
          <w:sz w:val="30"/>
          <w:szCs w:val="30"/>
        </w:rPr>
        <w:t>年1月1日以后出生），且尚未取得副高级及以上专业技术职务。</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八）申报《指南》“习近平总书记关于教育重要论述专题研究”项目的申请人应具有3年以上从事与所申报项目内容有关的研究或者管理工作经历，有较强的组织和协调能力，以及较高的理论素养和分析解决问题的能力。同时，申请人须具有副高级及以上专业技术职务（职称）。</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黑体" w:hAnsi="黑体" w:eastAsia="黑体"/>
          <w:sz w:val="30"/>
          <w:szCs w:val="30"/>
        </w:rPr>
      </w:pPr>
      <w:r>
        <w:rPr>
          <w:rFonts w:hint="eastAsia" w:ascii="黑体" w:hAnsi="黑体" w:eastAsia="黑体"/>
          <w:sz w:val="30"/>
          <w:szCs w:val="30"/>
        </w:rPr>
        <w:t>三、申报程序</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本次申报为限额申报，各单位的限额另行下达。请各单位严把质量关，择优推荐，特别是要避免同类选题重复申报。</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楷体_GB2312" w:eastAsia="楷体_GB2312"/>
          <w:sz w:val="30"/>
          <w:szCs w:val="30"/>
        </w:rPr>
      </w:pPr>
      <w:r>
        <w:rPr>
          <w:rFonts w:hint="eastAsia" w:ascii="楷体_GB2312" w:eastAsia="楷体_GB2312"/>
          <w:sz w:val="30"/>
          <w:szCs w:val="30"/>
        </w:rPr>
        <w:t>（一）填写申请材料</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申请人依据申报类别填写相应的申请书和项目设计论证活页（以下简称“论证活页”）：《上海市哲学社会科学规划教育学一般项目申请书》（见附件2）《上海市哲学社会科学规划教育学青年项目申请书》（见附件3）《上海市教育科学研究一般项目申请书》（见附件4）。论证活页的具体内容详见各类别申请书。</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eastAsia="仿宋_GB2312"/>
          <w:color w:val="0000FF"/>
          <w:spacing w:val="-2"/>
          <w:sz w:val="30"/>
          <w:szCs w:val="30"/>
        </w:rPr>
      </w:pPr>
      <w:r>
        <w:rPr>
          <w:rFonts w:hint="eastAsia" w:ascii="仿宋_GB2312" w:eastAsia="仿宋_GB2312"/>
          <w:sz w:val="30"/>
          <w:szCs w:val="30"/>
        </w:rPr>
        <w:t>上海市教育科学研究项目涉及12个学科。请依照申请书所列出的学科分类代码填写相应学科，跨学科项目根据“尽量靠近”原则选择一个主学科进行申报。上海市教育科学研究一般项目中的“教育基本理论”学科，细分为“教育基本理论（党建类）”和“教育基本理论（其他）”。</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楷体_GB2312" w:eastAsia="楷体_GB2312"/>
          <w:sz w:val="30"/>
          <w:szCs w:val="30"/>
        </w:rPr>
      </w:pPr>
      <w:r>
        <w:rPr>
          <w:rFonts w:hint="eastAsia" w:ascii="楷体_GB2312" w:eastAsia="楷体_GB2312"/>
          <w:sz w:val="30"/>
          <w:szCs w:val="30"/>
        </w:rPr>
        <w:t>（二）申请材料提交</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bCs/>
          <w:sz w:val="30"/>
          <w:szCs w:val="30"/>
          <w:lang w:val="en-US" w:eastAsia="zh-CN"/>
        </w:rPr>
        <w:t>1</w:t>
      </w:r>
      <w:r>
        <w:rPr>
          <w:rFonts w:hint="eastAsia" w:ascii="仿宋_GB2312" w:eastAsia="仿宋_GB2312"/>
          <w:bCs/>
          <w:sz w:val="30"/>
          <w:szCs w:val="30"/>
        </w:rPr>
        <w:t>.申请材料审核</w:t>
      </w:r>
      <w:r>
        <w:rPr>
          <w:rFonts w:hint="eastAsia" w:ascii="仿宋_GB2312" w:eastAsia="仿宋_GB2312"/>
          <w:sz w:val="30"/>
          <w:szCs w:val="30"/>
        </w:rPr>
        <w:t>。申请人所在单位（部门、院系）应对申请书等材料进行认真审核，确保材料的真实性，并签字盖章。各区教育局所属单位申报人的项目申请材料，应报各区教育局科研管理部门，由各区教育局审核同意后报上海市教育科学规划领导小组办公室；各高校研究人员的项目申请材料报所在学校教育科研管理部门，由学校审核同意后报上海市教育科学规划领导小组办公室；市教委直属单位、其他有关单位申报人的项目申请材料由本单位审核同意后集中报上海市教育科学规划领导小组办公室。</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bCs/>
          <w:sz w:val="30"/>
          <w:szCs w:val="30"/>
          <w:lang w:val="en-US" w:eastAsia="zh-CN"/>
        </w:rPr>
        <w:t>2</w:t>
      </w:r>
      <w:r>
        <w:rPr>
          <w:rFonts w:hint="eastAsia" w:ascii="仿宋_GB2312" w:eastAsia="仿宋_GB2312"/>
          <w:bCs/>
          <w:sz w:val="30"/>
          <w:szCs w:val="30"/>
        </w:rPr>
        <w:t>.材料提交</w:t>
      </w:r>
      <w:r>
        <w:rPr>
          <w:rFonts w:hint="eastAsia" w:ascii="仿宋_GB2312" w:eastAsia="仿宋_GB2312"/>
          <w:bCs/>
          <w:sz w:val="30"/>
          <w:szCs w:val="30"/>
          <w:lang w:eastAsia="zh-CN"/>
        </w:rPr>
        <w:t>要求</w:t>
      </w:r>
      <w:r>
        <w:rPr>
          <w:rFonts w:hint="eastAsia" w:ascii="仿宋_GB2312" w:eastAsia="仿宋_GB2312"/>
          <w:sz w:val="30"/>
          <w:szCs w:val="30"/>
        </w:rPr>
        <w:t>。各单位</w:t>
      </w:r>
      <w:r>
        <w:rPr>
          <w:rFonts w:hint="eastAsia" w:ascii="仿宋_GB2312" w:eastAsia="仿宋_GB2312"/>
          <w:sz w:val="30"/>
          <w:szCs w:val="30"/>
          <w:lang w:eastAsia="zh-CN"/>
        </w:rPr>
        <w:t>科研管理部门</w:t>
      </w:r>
      <w:r>
        <w:rPr>
          <w:rFonts w:hint="eastAsia" w:ascii="仿宋_GB2312" w:eastAsia="仿宋_GB2312"/>
          <w:sz w:val="30"/>
          <w:szCs w:val="30"/>
        </w:rPr>
        <w:t>应于202</w:t>
      </w:r>
      <w:r>
        <w:rPr>
          <w:rFonts w:hint="eastAsia" w:ascii="仿宋_GB2312" w:eastAsia="仿宋_GB2312"/>
          <w:sz w:val="30"/>
          <w:szCs w:val="30"/>
          <w:lang w:val="en-US" w:eastAsia="zh-CN"/>
        </w:rPr>
        <w:t>4</w:t>
      </w:r>
      <w:r>
        <w:rPr>
          <w:rFonts w:hint="eastAsia" w:ascii="仿宋_GB2312" w:eastAsia="仿宋_GB2312"/>
          <w:sz w:val="30"/>
          <w:szCs w:val="30"/>
        </w:rPr>
        <w:t>年</w:t>
      </w:r>
      <w:r>
        <w:rPr>
          <w:rFonts w:hint="default" w:ascii="仿宋_GB2312" w:eastAsia="仿宋_GB2312"/>
          <w:sz w:val="30"/>
          <w:szCs w:val="30"/>
        </w:rPr>
        <w:t>7</w:t>
      </w:r>
      <w:r>
        <w:rPr>
          <w:rFonts w:hint="eastAsia" w:ascii="仿宋_GB2312" w:eastAsia="仿宋_GB2312"/>
          <w:sz w:val="30"/>
          <w:szCs w:val="30"/>
        </w:rPr>
        <w:t>月</w:t>
      </w:r>
      <w:r>
        <w:rPr>
          <w:rFonts w:hint="default" w:ascii="仿宋_GB2312" w:eastAsia="仿宋_GB2312"/>
          <w:sz w:val="30"/>
          <w:szCs w:val="30"/>
        </w:rPr>
        <w:t>19</w:t>
      </w:r>
      <w:r>
        <w:rPr>
          <w:rFonts w:hint="eastAsia" w:ascii="仿宋_GB2312" w:eastAsia="仿宋_GB2312"/>
          <w:sz w:val="30"/>
          <w:szCs w:val="30"/>
        </w:rPr>
        <w:t>日（星期五）中午1</w:t>
      </w:r>
      <w:r>
        <w:rPr>
          <w:rFonts w:ascii="仿宋_GB2312" w:eastAsia="仿宋_GB2312"/>
          <w:sz w:val="30"/>
          <w:szCs w:val="30"/>
        </w:rPr>
        <w:t>2</w:t>
      </w:r>
      <w:r>
        <w:rPr>
          <w:rFonts w:hint="eastAsia" w:ascii="仿宋_GB2312" w:eastAsia="仿宋_GB2312"/>
          <w:sz w:val="30"/>
          <w:szCs w:val="30"/>
        </w:rPr>
        <w:t>:00前，</w:t>
      </w:r>
      <w:r>
        <w:rPr>
          <w:rFonts w:hint="eastAsia" w:ascii="仿宋_GB2312" w:eastAsia="仿宋_GB2312"/>
          <w:sz w:val="30"/>
          <w:szCs w:val="30"/>
          <w:lang w:eastAsia="zh-CN"/>
        </w:rPr>
        <w:t>将</w:t>
      </w:r>
      <w:r>
        <w:rPr>
          <w:rFonts w:hint="eastAsia" w:ascii="仿宋_GB2312" w:eastAsia="仿宋_GB2312"/>
          <w:sz w:val="30"/>
          <w:szCs w:val="30"/>
        </w:rPr>
        <w:t>本单位申报项目申请书、论证活页和《202</w:t>
      </w:r>
      <w:r>
        <w:rPr>
          <w:rFonts w:hint="eastAsia" w:ascii="仿宋_GB2312" w:eastAsia="仿宋_GB2312"/>
          <w:sz w:val="30"/>
          <w:szCs w:val="30"/>
          <w:lang w:val="en-US" w:eastAsia="zh-CN"/>
        </w:rPr>
        <w:t>5</w:t>
      </w:r>
      <w:r>
        <w:rPr>
          <w:rFonts w:hint="eastAsia" w:ascii="仿宋_GB2312" w:eastAsia="仿宋_GB2312"/>
          <w:sz w:val="30"/>
          <w:szCs w:val="30"/>
        </w:rPr>
        <w:t>年度上海市教育科学研究项目申报汇总表》等申请材料</w:t>
      </w:r>
      <w:r>
        <w:rPr>
          <w:rFonts w:hint="eastAsia" w:ascii="仿宋_GB2312" w:eastAsia="仿宋_GB2312"/>
          <w:sz w:val="30"/>
          <w:szCs w:val="30"/>
          <w:lang w:eastAsia="zh-CN"/>
        </w:rPr>
        <w:t>提交至上海市教育科学规划领导小组办公室</w:t>
      </w:r>
      <w:r>
        <w:rPr>
          <w:rFonts w:hint="eastAsia" w:ascii="仿宋_GB2312" w:eastAsia="仿宋_GB2312"/>
          <w:sz w:val="30"/>
          <w:szCs w:val="30"/>
        </w:rPr>
        <w:t>。具体提交工作由上海市教育科学规划领导小组办公室组织。</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黑体" w:hAnsi="黑体" w:eastAsia="黑体"/>
          <w:sz w:val="30"/>
          <w:szCs w:val="30"/>
        </w:rPr>
      </w:pPr>
      <w:r>
        <w:rPr>
          <w:rFonts w:hint="eastAsia" w:ascii="黑体" w:hAnsi="黑体" w:eastAsia="黑体"/>
          <w:sz w:val="30"/>
          <w:szCs w:val="30"/>
        </w:rPr>
        <w:t>四、项目评审</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市教委</w:t>
      </w:r>
      <w:r>
        <w:rPr>
          <w:rFonts w:hint="default" w:ascii="仿宋_GB2312" w:eastAsia="仿宋_GB2312"/>
          <w:sz w:val="30"/>
          <w:szCs w:val="30"/>
        </w:rPr>
        <w:t>将</w:t>
      </w:r>
      <w:r>
        <w:rPr>
          <w:rFonts w:ascii="仿宋_GB2312" w:eastAsia="仿宋_GB2312"/>
          <w:sz w:val="30"/>
          <w:szCs w:val="30"/>
        </w:rPr>
        <w:t>组织专家对项目进行</w:t>
      </w:r>
      <w:r>
        <w:rPr>
          <w:rFonts w:hint="eastAsia" w:ascii="仿宋_GB2312" w:eastAsia="仿宋_GB2312"/>
          <w:sz w:val="30"/>
          <w:szCs w:val="30"/>
        </w:rPr>
        <w:t>评审</w:t>
      </w:r>
      <w:r>
        <w:rPr>
          <w:rFonts w:ascii="仿宋_GB2312" w:eastAsia="仿宋_GB2312"/>
          <w:sz w:val="30"/>
          <w:szCs w:val="30"/>
        </w:rPr>
        <w:t>，</w:t>
      </w:r>
      <w:r>
        <w:rPr>
          <w:rFonts w:hint="eastAsia" w:ascii="仿宋_GB2312" w:eastAsia="仿宋_GB2312"/>
          <w:sz w:val="30"/>
          <w:szCs w:val="30"/>
        </w:rPr>
        <w:t>项目实际经费以评审核定金额为准</w:t>
      </w:r>
      <w:r>
        <w:rPr>
          <w:rFonts w:hint="default" w:ascii="仿宋_GB2312" w:eastAsia="仿宋_GB2312"/>
          <w:sz w:val="30"/>
          <w:szCs w:val="30"/>
        </w:rPr>
        <w:t>，采取“一次核定，分年拨付”的方式</w:t>
      </w:r>
      <w:r>
        <w:rPr>
          <w:rFonts w:hint="eastAsia" w:ascii="仿宋_GB2312" w:eastAsia="仿宋_GB2312"/>
          <w:sz w:val="30"/>
          <w:szCs w:val="30"/>
        </w:rPr>
        <w:t>。项目经费包括直接费用和间接费用两部分，经费使用管理按照</w:t>
      </w:r>
      <w:r>
        <w:rPr>
          <w:rFonts w:hint="eastAsia" w:ascii="仿宋_GB2312" w:eastAsia="仿宋_GB2312"/>
          <w:sz w:val="30"/>
          <w:szCs w:val="30"/>
          <w:lang w:eastAsia="zh-CN"/>
        </w:rPr>
        <w:t>《上海市市级教育财政科研类项目经费管理办法（2023年修订）》（沪教委科〔2023〕53号）</w:t>
      </w:r>
      <w:r>
        <w:rPr>
          <w:rFonts w:hint="eastAsia" w:ascii="仿宋_GB2312" w:eastAsia="仿宋_GB2312"/>
          <w:sz w:val="30"/>
          <w:szCs w:val="30"/>
        </w:rPr>
        <w:t>执行。</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黑体" w:hAnsi="黑体" w:eastAsia="黑体"/>
          <w:sz w:val="30"/>
          <w:szCs w:val="30"/>
        </w:rPr>
      </w:pPr>
      <w:r>
        <w:rPr>
          <w:rFonts w:hint="eastAsia" w:ascii="黑体" w:hAnsi="黑体" w:eastAsia="黑体"/>
          <w:sz w:val="30"/>
          <w:szCs w:val="30"/>
        </w:rPr>
        <w:t>五、组织工作</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各高等学校、区教育局、有关单位要高度重视本次项目申报组织工作，明确具体职能部门承担上海市教育科研项目的申报组织、资格审查、推荐报送等工作职责。</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黑体" w:hAnsi="黑体" w:eastAsia="黑体"/>
          <w:sz w:val="30"/>
          <w:szCs w:val="30"/>
        </w:rPr>
      </w:pPr>
      <w:r>
        <w:rPr>
          <w:rFonts w:hint="eastAsia" w:ascii="黑体" w:hAnsi="黑体" w:eastAsia="黑体"/>
          <w:sz w:val="30"/>
          <w:szCs w:val="30"/>
        </w:rPr>
        <w:t>六、联系方式</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hint="eastAsia" w:ascii="楷体_GB2312" w:eastAsia="楷体_GB2312"/>
          <w:sz w:val="30"/>
          <w:szCs w:val="30"/>
        </w:rPr>
      </w:pPr>
      <w:r>
        <w:rPr>
          <w:rFonts w:hint="eastAsia" w:ascii="楷体_GB2312" w:eastAsia="楷体_GB2312"/>
          <w:sz w:val="30"/>
          <w:szCs w:val="30"/>
        </w:rPr>
        <w:t>（一）上海市教委科研处</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联系人：姜冠成，联系电话：23116822</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hint="eastAsia" w:ascii="楷体_GB2312" w:eastAsia="楷体_GB2312"/>
          <w:sz w:val="30"/>
          <w:szCs w:val="30"/>
        </w:rPr>
      </w:pPr>
      <w:r>
        <w:rPr>
          <w:rFonts w:hint="eastAsia" w:ascii="楷体_GB2312" w:eastAsia="楷体_GB2312"/>
          <w:sz w:val="30"/>
          <w:szCs w:val="30"/>
        </w:rPr>
        <w:t>（二）上海市教育科学规划领导小组办公室</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联系人：方建锋，联系电话：64184439</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hAnsi="Calibri" w:eastAsia="仿宋_GB2312"/>
          <w:sz w:val="30"/>
          <w:szCs w:val="30"/>
        </w:rPr>
      </w:pPr>
      <w:r>
        <w:rPr>
          <w:rFonts w:hint="eastAsia" w:ascii="仿宋_GB2312" w:eastAsia="仿宋_GB2312"/>
          <w:sz w:val="30"/>
          <w:szCs w:val="30"/>
        </w:rPr>
        <w:t>本通知及附件的电子版均可以从上海市教育委员会网站</w:t>
      </w:r>
      <w:r>
        <w:rPr>
          <w:sz w:val="30"/>
          <w:szCs w:val="30"/>
        </w:rPr>
        <w:fldChar w:fldCharType="begin"/>
      </w:r>
      <w:r>
        <w:rPr>
          <w:sz w:val="30"/>
          <w:szCs w:val="30"/>
        </w:rPr>
        <w:instrText xml:space="preserve"> HYPERLINK "http://www.shmec.gov.cn）或上海市" </w:instrText>
      </w:r>
      <w:r>
        <w:rPr>
          <w:sz w:val="30"/>
          <w:szCs w:val="30"/>
        </w:rPr>
        <w:fldChar w:fldCharType="separate"/>
      </w:r>
      <w:r>
        <w:rPr>
          <w:rFonts w:hint="eastAsia" w:ascii="仿宋_GB2312" w:eastAsia="仿宋_GB2312"/>
          <w:sz w:val="30"/>
          <w:szCs w:val="30"/>
        </w:rPr>
        <w:t>或上海市</w:t>
      </w:r>
      <w:r>
        <w:rPr>
          <w:rFonts w:hint="eastAsia" w:ascii="仿宋_GB2312" w:eastAsia="仿宋_GB2312"/>
          <w:sz w:val="30"/>
          <w:szCs w:val="30"/>
        </w:rPr>
        <w:fldChar w:fldCharType="end"/>
      </w:r>
      <w:r>
        <w:rPr>
          <w:rFonts w:hint="eastAsia" w:ascii="仿宋_GB2312" w:eastAsia="仿宋_GB2312"/>
          <w:sz w:val="30"/>
          <w:szCs w:val="30"/>
        </w:rPr>
        <w:t>教育科学研究院网站（</w:t>
      </w:r>
      <w:r>
        <w:rPr>
          <w:sz w:val="30"/>
          <w:szCs w:val="30"/>
        </w:rPr>
        <w:fldChar w:fldCharType="begin"/>
      </w:r>
      <w:r>
        <w:rPr>
          <w:sz w:val="30"/>
          <w:szCs w:val="30"/>
        </w:rPr>
        <w:instrText xml:space="preserve"> HYPERLINK "http://www.cnsaes.org.cn/" </w:instrText>
      </w:r>
      <w:r>
        <w:rPr>
          <w:sz w:val="30"/>
          <w:szCs w:val="30"/>
        </w:rPr>
        <w:fldChar w:fldCharType="separate"/>
      </w:r>
      <w:r>
        <w:rPr>
          <w:rFonts w:hint="eastAsia" w:ascii="仿宋_GB2312" w:eastAsia="仿宋_GB2312"/>
          <w:sz w:val="30"/>
          <w:szCs w:val="30"/>
        </w:rPr>
        <w:t>http://www.cnsaes.org.cn/</w:t>
      </w:r>
      <w:r>
        <w:rPr>
          <w:rFonts w:hint="eastAsia" w:ascii="仿宋_GB2312" w:eastAsia="仿宋_GB2312"/>
          <w:sz w:val="30"/>
          <w:szCs w:val="30"/>
        </w:rPr>
        <w:fldChar w:fldCharType="end"/>
      </w:r>
      <w:r>
        <w:rPr>
          <w:rFonts w:hint="eastAsia" w:ascii="仿宋_GB2312" w:eastAsia="仿宋_GB2312"/>
          <w:sz w:val="30"/>
          <w:szCs w:val="30"/>
        </w:rPr>
        <w:t>）下载。</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附件：1.202</w:t>
      </w:r>
      <w:r>
        <w:rPr>
          <w:rFonts w:hint="eastAsia" w:ascii="仿宋_GB2312" w:eastAsia="仿宋_GB2312"/>
          <w:sz w:val="30"/>
          <w:szCs w:val="30"/>
          <w:lang w:val="en-US" w:eastAsia="zh-CN"/>
        </w:rPr>
        <w:t>5</w:t>
      </w:r>
      <w:r>
        <w:rPr>
          <w:rFonts w:hint="eastAsia" w:ascii="仿宋_GB2312" w:eastAsia="仿宋_GB2312"/>
          <w:sz w:val="30"/>
          <w:szCs w:val="30"/>
        </w:rPr>
        <w:t>年度上海市教育科学研究一般项目指南</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 xml:space="preserve">     </w:t>
      </w:r>
      <w:r>
        <w:rPr>
          <w:rFonts w:hint="eastAsia" w:ascii="仿宋_GB2312" w:eastAsia="仿宋_GB2312"/>
          <w:color w:val="FF0000"/>
          <w:sz w:val="30"/>
          <w:szCs w:val="30"/>
        </w:rPr>
        <w:t xml:space="preserve"> </w:t>
      </w:r>
      <w:r>
        <w:rPr>
          <w:rFonts w:hint="eastAsia" w:ascii="仿宋_GB2312" w:eastAsia="仿宋_GB2312"/>
          <w:sz w:val="30"/>
          <w:szCs w:val="30"/>
        </w:rPr>
        <w:t>2.上海市哲学社会科学规划教育学一般项目申请书</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 xml:space="preserve">      3.上海市哲学社会科学规划教育学青年项目申请书</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 xml:space="preserve">      4.上海市教育科学研究一般项目申请书</w:t>
      </w:r>
    </w:p>
    <w:p>
      <w:pPr>
        <w:keepNext w:val="0"/>
        <w:keepLines w:val="0"/>
        <w:pageBreakBefore w:val="0"/>
        <w:widowControl w:val="0"/>
        <w:kinsoku/>
        <w:wordWrap/>
        <w:overflowPunct/>
        <w:topLinePunct w:val="0"/>
        <w:autoSpaceDE/>
        <w:autoSpaceDN/>
        <w:bidi w:val="0"/>
        <w:spacing w:line="500" w:lineRule="exact"/>
        <w:ind w:firstLine="600" w:firstLineChars="200"/>
        <w:jc w:val="left"/>
        <w:textAlignment w:val="auto"/>
        <w:rPr>
          <w:rFonts w:ascii="仿宋_GB2312" w:eastAsia="仿宋_GB2312"/>
          <w:sz w:val="30"/>
          <w:szCs w:val="30"/>
        </w:rPr>
      </w:pPr>
      <w:r>
        <w:rPr>
          <w:rFonts w:hint="eastAsia" w:ascii="仿宋_GB2312" w:eastAsia="仿宋_GB2312"/>
          <w:sz w:val="30"/>
          <w:szCs w:val="30"/>
        </w:rPr>
        <w:t xml:space="preserve">      5.202</w:t>
      </w:r>
      <w:r>
        <w:rPr>
          <w:rFonts w:hint="eastAsia" w:ascii="仿宋_GB2312" w:eastAsia="仿宋_GB2312"/>
          <w:sz w:val="30"/>
          <w:szCs w:val="30"/>
          <w:lang w:val="en-US" w:eastAsia="zh-CN"/>
        </w:rPr>
        <w:t>5</w:t>
      </w:r>
      <w:r>
        <w:rPr>
          <w:rFonts w:hint="eastAsia" w:ascii="仿宋_GB2312" w:eastAsia="仿宋_GB2312"/>
          <w:sz w:val="30"/>
          <w:szCs w:val="30"/>
        </w:rPr>
        <w:t xml:space="preserve">年度上海市教育科学研究项目申报汇总表  </w:t>
      </w:r>
    </w:p>
    <w:p>
      <w:pPr>
        <w:keepNext w:val="0"/>
        <w:keepLines w:val="0"/>
        <w:pageBreakBefore w:val="0"/>
        <w:widowControl w:val="0"/>
        <w:kinsoku/>
        <w:wordWrap/>
        <w:overflowPunct/>
        <w:topLinePunct w:val="0"/>
        <w:autoSpaceDE/>
        <w:autoSpaceDN/>
        <w:bidi w:val="0"/>
        <w:adjustRightInd w:val="0"/>
        <w:snapToGrid w:val="0"/>
        <w:spacing w:line="500" w:lineRule="exact"/>
        <w:ind w:firstLine="630"/>
        <w:jc w:val="left"/>
        <w:textAlignment w:val="auto"/>
        <w:rPr>
          <w:rFonts w:hint="eastAsia" w:hAnsi="华文仿宋" w:eastAsia="华文仿宋"/>
          <w:sz w:val="30"/>
          <w:szCs w:val="30"/>
        </w:rPr>
      </w:pPr>
    </w:p>
    <w:p>
      <w:pPr>
        <w:keepNext w:val="0"/>
        <w:keepLines w:val="0"/>
        <w:pageBreakBefore w:val="0"/>
        <w:widowControl w:val="0"/>
        <w:kinsoku/>
        <w:wordWrap/>
        <w:overflowPunct/>
        <w:topLinePunct w:val="0"/>
        <w:autoSpaceDE/>
        <w:autoSpaceDN/>
        <w:bidi w:val="0"/>
        <w:spacing w:line="500" w:lineRule="exact"/>
        <w:ind w:right="361" w:firstLine="4650" w:firstLineChars="1550"/>
        <w:jc w:val="left"/>
        <w:textAlignment w:val="auto"/>
        <w:rPr>
          <w:rFonts w:hint="eastAsia" w:ascii="仿宋_GB2312" w:eastAsia="仿宋_GB2312"/>
          <w:sz w:val="30"/>
          <w:szCs w:val="30"/>
        </w:rPr>
      </w:pPr>
    </w:p>
    <w:p>
      <w:pPr>
        <w:keepNext w:val="0"/>
        <w:keepLines w:val="0"/>
        <w:pageBreakBefore w:val="0"/>
        <w:widowControl w:val="0"/>
        <w:kinsoku/>
        <w:wordWrap/>
        <w:overflowPunct/>
        <w:topLinePunct w:val="0"/>
        <w:autoSpaceDE/>
        <w:autoSpaceDN/>
        <w:bidi w:val="0"/>
        <w:spacing w:line="500" w:lineRule="exact"/>
        <w:ind w:right="361" w:firstLine="4650" w:firstLineChars="1550"/>
        <w:jc w:val="left"/>
        <w:textAlignment w:val="auto"/>
        <w:rPr>
          <w:rFonts w:ascii="仿宋_GB2312" w:eastAsia="仿宋_GB2312"/>
          <w:sz w:val="30"/>
          <w:szCs w:val="30"/>
        </w:rPr>
      </w:pPr>
      <w:r>
        <w:rPr>
          <w:rFonts w:hint="eastAsia" w:ascii="仿宋_GB2312" w:eastAsia="仿宋_GB2312"/>
          <w:sz w:val="30"/>
          <w:szCs w:val="30"/>
        </w:rPr>
        <w:t>上 海 市 教 育 委 员 会</w:t>
      </w:r>
    </w:p>
    <w:p>
      <w:pPr>
        <w:keepNext w:val="0"/>
        <w:keepLines w:val="0"/>
        <w:pageBreakBefore w:val="0"/>
        <w:widowControl w:val="0"/>
        <w:tabs>
          <w:tab w:val="left" w:pos="7380"/>
          <w:tab w:val="left" w:pos="7560"/>
        </w:tabs>
        <w:kinsoku/>
        <w:wordWrap/>
        <w:overflowPunct/>
        <w:topLinePunct w:val="0"/>
        <w:autoSpaceDE/>
        <w:autoSpaceDN/>
        <w:bidi w:val="0"/>
        <w:spacing w:line="500" w:lineRule="exact"/>
        <w:ind w:right="361" w:firstLine="5250" w:firstLineChars="1750"/>
        <w:jc w:val="left"/>
        <w:textAlignment w:val="auto"/>
        <w:rPr>
          <w:rFonts w:ascii="仿宋_GB2312" w:eastAsia="仿宋_GB2312"/>
          <w:sz w:val="30"/>
          <w:szCs w:val="30"/>
        </w:rPr>
      </w:pPr>
      <w:r>
        <w:rPr>
          <w:rFonts w:hint="eastAsia" w:ascii="仿宋_GB2312" w:eastAsia="仿宋_GB2312"/>
          <w:sz w:val="30"/>
          <w:szCs w:val="30"/>
        </w:rPr>
        <w:t>202</w:t>
      </w:r>
      <w:r>
        <w:rPr>
          <w:rFonts w:hint="eastAsia" w:ascii="仿宋_GB2312" w:eastAsia="仿宋_GB2312"/>
          <w:sz w:val="30"/>
          <w:szCs w:val="30"/>
          <w:lang w:val="en-US" w:eastAsia="zh-CN"/>
        </w:rPr>
        <w:t>4</w:t>
      </w:r>
      <w:r>
        <w:rPr>
          <w:rFonts w:hint="eastAsia" w:ascii="仿宋_GB2312" w:eastAsia="仿宋_GB2312"/>
          <w:sz w:val="30"/>
          <w:szCs w:val="30"/>
        </w:rPr>
        <w:t>年</w:t>
      </w:r>
      <w:r>
        <w:rPr>
          <w:rFonts w:hint="eastAsia" w:ascii="仿宋_GB2312" w:eastAsia="仿宋_GB2312"/>
          <w:sz w:val="30"/>
          <w:szCs w:val="30"/>
          <w:lang w:val="en-US" w:eastAsia="zh-CN"/>
        </w:rPr>
        <w:t>6</w:t>
      </w:r>
      <w:r>
        <w:rPr>
          <w:rFonts w:hint="eastAsia" w:ascii="仿宋_GB2312" w:eastAsia="仿宋_GB2312"/>
          <w:sz w:val="30"/>
          <w:szCs w:val="30"/>
        </w:rPr>
        <w:t>月</w:t>
      </w:r>
      <w:r>
        <w:rPr>
          <w:rFonts w:hint="eastAsia" w:ascii="仿宋_GB2312" w:eastAsia="仿宋_GB2312"/>
          <w:sz w:val="30"/>
          <w:szCs w:val="30"/>
          <w:lang w:val="en-US" w:eastAsia="zh-CN"/>
        </w:rPr>
        <w:t>21</w:t>
      </w:r>
      <w:r>
        <w:rPr>
          <w:rFonts w:hint="eastAsia" w:ascii="仿宋_GB2312" w:eastAsia="仿宋_GB2312"/>
          <w:sz w:val="30"/>
          <w:szCs w:val="30"/>
        </w:rPr>
        <w:t>日</w:t>
      </w:r>
    </w:p>
    <w:p>
      <w:pPr>
        <w:spacing w:line="600" w:lineRule="exact"/>
        <w:rPr>
          <w:rFonts w:hint="eastAsia" w:ascii="黑体" w:hAnsi="黑体" w:eastAsia="黑体"/>
          <w:sz w:val="32"/>
          <w:szCs w:val="32"/>
        </w:rPr>
      </w:pPr>
      <w:r>
        <w:rPr>
          <w:rFonts w:ascii="仿宋_GB2312" w:eastAsia="仿宋_GB2312"/>
          <w:sz w:val="30"/>
          <w:szCs w:val="30"/>
        </w:rPr>
        <w:br w:type="page"/>
      </w:r>
      <w:r>
        <w:rPr>
          <w:rFonts w:hint="eastAsia" w:ascii="黑体" w:hAnsi="黑体" w:eastAsia="黑体"/>
          <w:sz w:val="32"/>
          <w:szCs w:val="32"/>
        </w:rPr>
        <w:t>附件1</w:t>
      </w:r>
    </w:p>
    <w:p>
      <w:pPr>
        <w:spacing w:line="600" w:lineRule="exact"/>
        <w:rPr>
          <w:rFonts w:ascii="黑体" w:hAnsi="黑体" w:eastAsia="黑体"/>
          <w:sz w:val="32"/>
          <w:szCs w:val="32"/>
        </w:rPr>
      </w:pPr>
    </w:p>
    <w:p>
      <w:pPr>
        <w:spacing w:line="560" w:lineRule="exact"/>
        <w:jc w:val="center"/>
        <w:rPr>
          <w:rFonts w:ascii="方正小标宋简体" w:eastAsia="方正小标宋简体"/>
          <w:sz w:val="38"/>
          <w:szCs w:val="38"/>
        </w:rPr>
      </w:pPr>
      <w:r>
        <w:rPr>
          <w:rFonts w:hint="eastAsia" w:ascii="方正小标宋简体" w:eastAsia="方正小标宋简体"/>
          <w:sz w:val="38"/>
          <w:szCs w:val="38"/>
        </w:rPr>
        <w:t>202</w:t>
      </w:r>
      <w:r>
        <w:rPr>
          <w:rFonts w:hint="eastAsia" w:ascii="方正小标宋简体" w:eastAsia="方正小标宋简体"/>
          <w:sz w:val="38"/>
          <w:szCs w:val="38"/>
          <w:lang w:val="en-US" w:eastAsia="zh-CN"/>
        </w:rPr>
        <w:t>5</w:t>
      </w:r>
      <w:r>
        <w:rPr>
          <w:rFonts w:hint="eastAsia" w:ascii="方正小标宋简体" w:eastAsia="方正小标宋简体"/>
          <w:sz w:val="38"/>
          <w:szCs w:val="38"/>
        </w:rPr>
        <w:t>年度上海市教育科学研究一般项目指南</w:t>
      </w:r>
    </w:p>
    <w:p>
      <w:pPr>
        <w:spacing w:line="560" w:lineRule="exact"/>
        <w:jc w:val="center"/>
        <w:rPr>
          <w:rFonts w:ascii="方正小标宋简体" w:eastAsia="方正小标宋简体"/>
          <w:sz w:val="38"/>
          <w:szCs w:val="38"/>
        </w:rPr>
      </w:pPr>
    </w:p>
    <w:p>
      <w:pPr>
        <w:spacing w:after="156" w:afterLines="50" w:line="560" w:lineRule="exact"/>
        <w:rPr>
          <w:rFonts w:ascii="黑体" w:hAnsi="黑体" w:eastAsia="黑体"/>
          <w:sz w:val="30"/>
          <w:szCs w:val="30"/>
        </w:rPr>
      </w:pPr>
      <w:r>
        <w:rPr>
          <w:rFonts w:hint="eastAsia" w:ascii="黑体" w:hAnsi="黑体" w:eastAsia="黑体"/>
          <w:sz w:val="30"/>
          <w:szCs w:val="30"/>
        </w:rPr>
        <w:t>一、习近平总书记关于教育</w:t>
      </w:r>
      <w:r>
        <w:rPr>
          <w:rFonts w:hint="default" w:ascii="黑体" w:hAnsi="黑体" w:eastAsia="黑体"/>
          <w:sz w:val="30"/>
          <w:szCs w:val="30"/>
        </w:rPr>
        <w:t>的</w:t>
      </w:r>
      <w:r>
        <w:rPr>
          <w:rFonts w:hint="eastAsia" w:ascii="黑体" w:hAnsi="黑体" w:eastAsia="黑体"/>
          <w:sz w:val="30"/>
          <w:szCs w:val="30"/>
        </w:rPr>
        <w:t>重要论述专题研究</w:t>
      </w:r>
    </w:p>
    <w:tbl>
      <w:tblPr>
        <w:tblStyle w:val="4"/>
        <w:tblW w:w="9242" w:type="dxa"/>
        <w:jc w:val="center"/>
        <w:tblLayout w:type="autofit"/>
        <w:tblCellMar>
          <w:top w:w="0" w:type="dxa"/>
          <w:left w:w="108" w:type="dxa"/>
          <w:bottom w:w="0" w:type="dxa"/>
          <w:right w:w="108" w:type="dxa"/>
        </w:tblCellMar>
      </w:tblPr>
      <w:tblGrid>
        <w:gridCol w:w="650"/>
        <w:gridCol w:w="8592"/>
      </w:tblGrid>
      <w:tr>
        <w:tblPrEx>
          <w:tblCellMar>
            <w:top w:w="0" w:type="dxa"/>
            <w:left w:w="108" w:type="dxa"/>
            <w:bottom w:w="0" w:type="dxa"/>
            <w:right w:w="108" w:type="dxa"/>
          </w:tblCellMar>
        </w:tblPrEx>
        <w:trPr>
          <w:trHeight w:val="400" w:hRule="atLeast"/>
          <w:jc w:val="center"/>
        </w:trPr>
        <w:tc>
          <w:tcPr>
            <w:tcW w:w="65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center"/>
              <w:textAlignment w:val="center"/>
              <w:rPr>
                <w:rFonts w:ascii="仿宋_GB2312" w:hAnsi="宋体" w:eastAsia="仿宋_GB2312" w:cs="仿宋_GB2312"/>
                <w:color w:val="000000"/>
                <w:sz w:val="30"/>
                <w:szCs w:val="30"/>
              </w:rPr>
            </w:pPr>
            <w:r>
              <w:rPr>
                <w:rFonts w:hint="eastAsia" w:ascii="仿宋_GB2312" w:hAnsi="宋体" w:eastAsia="仿宋_GB2312" w:cs="仿宋_GB2312"/>
                <w:color w:val="000000"/>
                <w:kern w:val="0"/>
                <w:sz w:val="30"/>
                <w:szCs w:val="30"/>
                <w:lang w:bidi="ar"/>
              </w:rPr>
              <w:t>1</w:t>
            </w:r>
          </w:p>
        </w:tc>
        <w:tc>
          <w:tcPr>
            <w:tcW w:w="85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宋体" w:eastAsia="仿宋_GB2312" w:cs="仿宋_GB2312"/>
                <w:color w:val="000000"/>
                <w:sz w:val="30"/>
                <w:szCs w:val="30"/>
              </w:rPr>
            </w:pPr>
            <w:r>
              <w:rPr>
                <w:rFonts w:hint="eastAsia" w:ascii="仿宋_GB2312" w:hAnsi="仿宋_GB2312" w:eastAsia="仿宋_GB2312" w:cs="仿宋_GB2312"/>
                <w:color w:val="000000"/>
                <w:kern w:val="0"/>
                <w:sz w:val="30"/>
                <w:szCs w:val="30"/>
                <w:lang w:bidi="ar"/>
              </w:rPr>
              <w:t>习近平总书记关于做好新时代人才工作重要论述研究</w:t>
            </w:r>
          </w:p>
        </w:tc>
      </w:tr>
      <w:tr>
        <w:tblPrEx>
          <w:tblCellMar>
            <w:top w:w="0" w:type="dxa"/>
            <w:left w:w="108" w:type="dxa"/>
            <w:bottom w:w="0" w:type="dxa"/>
            <w:right w:w="108" w:type="dxa"/>
          </w:tblCellMar>
        </w:tblPrEx>
        <w:trPr>
          <w:trHeight w:val="400" w:hRule="atLeast"/>
          <w:jc w:val="center"/>
        </w:trPr>
        <w:tc>
          <w:tcPr>
            <w:tcW w:w="65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center"/>
              <w:textAlignment w:val="center"/>
              <w:rPr>
                <w:rFonts w:hint="eastAsia" w:ascii="仿宋_GB2312" w:hAnsi="宋体" w:eastAsia="仿宋_GB2312" w:cs="仿宋_GB2312"/>
                <w:color w:val="000000"/>
                <w:sz w:val="30"/>
                <w:szCs w:val="30"/>
              </w:rPr>
            </w:pPr>
            <w:r>
              <w:rPr>
                <w:rFonts w:hint="eastAsia" w:ascii="仿宋_GB2312" w:hAnsi="宋体" w:eastAsia="仿宋_GB2312" w:cs="仿宋_GB2312"/>
                <w:color w:val="000000"/>
                <w:kern w:val="0"/>
                <w:sz w:val="30"/>
                <w:szCs w:val="30"/>
                <w:lang w:bidi="ar"/>
              </w:rPr>
              <w:t>2</w:t>
            </w:r>
          </w:p>
        </w:tc>
        <w:tc>
          <w:tcPr>
            <w:tcW w:w="85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宋体" w:eastAsia="仿宋_GB2312" w:cs="仿宋_GB2312"/>
                <w:color w:val="000000"/>
                <w:sz w:val="30"/>
                <w:szCs w:val="30"/>
              </w:rPr>
            </w:pPr>
            <w:r>
              <w:rPr>
                <w:rFonts w:hint="eastAsia" w:ascii="仿宋_GB2312" w:hAnsi="仿宋_GB2312" w:eastAsia="仿宋_GB2312" w:cs="仿宋_GB2312"/>
                <w:color w:val="000000"/>
                <w:kern w:val="0"/>
                <w:sz w:val="30"/>
                <w:szCs w:val="30"/>
                <w:lang w:bidi="ar"/>
              </w:rPr>
              <w:t>高校推进习近平新时代中国特色社会主义思想“三进”工作的实践探索及成效研究</w:t>
            </w:r>
          </w:p>
        </w:tc>
      </w:tr>
      <w:tr>
        <w:tblPrEx>
          <w:tblCellMar>
            <w:top w:w="0" w:type="dxa"/>
            <w:left w:w="108" w:type="dxa"/>
            <w:bottom w:w="0" w:type="dxa"/>
            <w:right w:w="108" w:type="dxa"/>
          </w:tblCellMar>
        </w:tblPrEx>
        <w:trPr>
          <w:trHeight w:val="400" w:hRule="atLeast"/>
          <w:jc w:val="center"/>
        </w:trPr>
        <w:tc>
          <w:tcPr>
            <w:tcW w:w="65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center"/>
              <w:textAlignment w:val="center"/>
              <w:rPr>
                <w:rFonts w:ascii="仿宋_GB2312" w:hAnsi="宋体" w:eastAsia="仿宋_GB2312" w:cs="仿宋_GB2312"/>
                <w:color w:val="000000"/>
                <w:kern w:val="0"/>
                <w:sz w:val="30"/>
                <w:szCs w:val="30"/>
                <w:lang w:bidi="ar"/>
              </w:rPr>
            </w:pPr>
            <w:r>
              <w:rPr>
                <w:rFonts w:hint="eastAsia" w:ascii="仿宋_GB2312" w:hAnsi="宋体" w:eastAsia="仿宋_GB2312" w:cs="仿宋_GB2312"/>
                <w:color w:val="000000"/>
                <w:kern w:val="0"/>
                <w:sz w:val="30"/>
                <w:szCs w:val="30"/>
                <w:lang w:bidi="ar"/>
              </w:rPr>
              <w:t>3</w:t>
            </w:r>
          </w:p>
        </w:tc>
        <w:tc>
          <w:tcPr>
            <w:tcW w:w="85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宋体" w:eastAsia="仿宋_GB2312" w:cs="仿宋_GB2312"/>
                <w:color w:val="000000"/>
                <w:kern w:val="0"/>
                <w:sz w:val="30"/>
                <w:szCs w:val="30"/>
                <w:lang w:bidi="ar"/>
              </w:rPr>
            </w:pPr>
            <w:r>
              <w:rPr>
                <w:rFonts w:hint="eastAsia" w:ascii="仿宋_GB2312" w:hAnsi="宋体" w:eastAsia="仿宋_GB2312" w:cs="仿宋_GB2312"/>
                <w:color w:val="000000"/>
                <w:kern w:val="0"/>
                <w:sz w:val="30"/>
                <w:szCs w:val="30"/>
                <w:lang w:bidi="ar"/>
              </w:rPr>
              <w:t>习近平总书记关于新时代全民终身学习的重要论述研究</w:t>
            </w:r>
          </w:p>
        </w:tc>
      </w:tr>
      <w:tr>
        <w:tblPrEx>
          <w:tblCellMar>
            <w:top w:w="0" w:type="dxa"/>
            <w:left w:w="108" w:type="dxa"/>
            <w:bottom w:w="0" w:type="dxa"/>
            <w:right w:w="108" w:type="dxa"/>
          </w:tblCellMar>
        </w:tblPrEx>
        <w:trPr>
          <w:trHeight w:val="400" w:hRule="atLeast"/>
          <w:jc w:val="center"/>
        </w:trPr>
        <w:tc>
          <w:tcPr>
            <w:tcW w:w="65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center"/>
              <w:textAlignment w:val="center"/>
              <w:rPr>
                <w:rFonts w:ascii="仿宋_GB2312" w:hAnsi="宋体" w:eastAsia="仿宋_GB2312" w:cs="仿宋_GB2312"/>
                <w:color w:val="000000"/>
                <w:kern w:val="0"/>
                <w:sz w:val="30"/>
                <w:szCs w:val="30"/>
                <w:lang w:bidi="ar"/>
              </w:rPr>
            </w:pPr>
            <w:r>
              <w:rPr>
                <w:rFonts w:hint="eastAsia" w:ascii="仿宋_GB2312" w:hAnsi="宋体" w:eastAsia="仿宋_GB2312" w:cs="仿宋_GB2312"/>
                <w:color w:val="000000"/>
                <w:kern w:val="0"/>
                <w:sz w:val="30"/>
                <w:szCs w:val="30"/>
                <w:lang w:bidi="ar"/>
              </w:rPr>
              <w:t>4</w:t>
            </w:r>
          </w:p>
        </w:tc>
        <w:tc>
          <w:tcPr>
            <w:tcW w:w="85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宋体" w:eastAsia="仿宋_GB2312" w:cs="仿宋_GB2312"/>
                <w:color w:val="000000"/>
                <w:kern w:val="0"/>
                <w:sz w:val="30"/>
                <w:szCs w:val="30"/>
                <w:lang w:bidi="ar"/>
              </w:rPr>
            </w:pPr>
            <w:r>
              <w:rPr>
                <w:rFonts w:hint="eastAsia" w:ascii="仿宋_GB2312" w:hAnsi="仿宋_GB2312" w:eastAsia="仿宋_GB2312" w:cs="仿宋_GB2312"/>
                <w:b w:val="0"/>
                <w:bCs w:val="0"/>
                <w:color w:val="auto"/>
                <w:kern w:val="0"/>
                <w:sz w:val="30"/>
                <w:szCs w:val="30"/>
                <w:lang w:bidi="ar"/>
              </w:rPr>
              <w:t>习近平文化思想融入思想政治教育研究</w:t>
            </w:r>
          </w:p>
        </w:tc>
      </w:tr>
    </w:tbl>
    <w:p>
      <w:pPr>
        <w:spacing w:before="156" w:beforeLines="50" w:line="560" w:lineRule="exact"/>
        <w:rPr>
          <w:rFonts w:hint="eastAsia" w:ascii="黑体" w:hAnsi="黑体" w:eastAsia="黑体"/>
          <w:sz w:val="30"/>
          <w:szCs w:val="30"/>
        </w:rPr>
      </w:pPr>
      <w:r>
        <w:rPr>
          <w:rFonts w:hint="eastAsia" w:ascii="黑体" w:hAnsi="黑体" w:eastAsia="黑体"/>
          <w:sz w:val="30"/>
          <w:szCs w:val="30"/>
        </w:rPr>
        <w:t>二、其他一般项目</w:t>
      </w:r>
    </w:p>
    <w:tbl>
      <w:tblPr>
        <w:tblStyle w:val="4"/>
        <w:tblW w:w="9207" w:type="dxa"/>
        <w:jc w:val="center"/>
        <w:tblLayout w:type="fixed"/>
        <w:tblCellMar>
          <w:top w:w="0" w:type="dxa"/>
          <w:left w:w="108" w:type="dxa"/>
          <w:bottom w:w="0" w:type="dxa"/>
          <w:right w:w="108" w:type="dxa"/>
        </w:tblCellMar>
      </w:tblPr>
      <w:tblGrid>
        <w:gridCol w:w="625"/>
        <w:gridCol w:w="8582"/>
      </w:tblGrid>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1</w:t>
            </w:r>
          </w:p>
        </w:tc>
        <w:tc>
          <w:tcPr>
            <w:tcW w:w="858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中小学生科学素养评价机制研究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2</w:t>
            </w:r>
          </w:p>
        </w:tc>
        <w:tc>
          <w:tcPr>
            <w:tcW w:w="8582" w:type="dxa"/>
            <w:tcBorders>
              <w:top w:val="single" w:color="000000" w:sz="4" w:space="0"/>
              <w:left w:val="single" w:color="000000" w:sz="4" w:space="0"/>
              <w:bottom w:val="single" w:color="000000" w:sz="4" w:space="0"/>
              <w:right w:val="single" w:color="000000" w:sz="4" w:space="0"/>
            </w:tcBorders>
            <w:noWrap/>
            <w:vAlign w:val="center"/>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提升学生体质健康的实施路径与重点难点研究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3</w:t>
            </w:r>
          </w:p>
        </w:tc>
        <w:tc>
          <w:tcPr>
            <w:tcW w:w="858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深化学校美育浸润行动的有效途径研究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4</w:t>
            </w:r>
          </w:p>
        </w:tc>
        <w:tc>
          <w:tcPr>
            <w:tcW w:w="858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上海民办教育高水平对外合作交流的路径与机制研究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30"/>
                <w:szCs w:val="30"/>
                <w:lang w:bidi="ar"/>
              </w:rPr>
            </w:pPr>
            <w:r>
              <w:rPr>
                <w:rFonts w:hint="eastAsia" w:ascii="仿宋_GB2312" w:hAnsi="仿宋_GB2312" w:eastAsia="仿宋_GB2312" w:cs="仿宋_GB2312"/>
                <w:i w:val="0"/>
                <w:iCs w:val="0"/>
                <w:color w:val="000000"/>
                <w:kern w:val="0"/>
                <w:sz w:val="30"/>
                <w:szCs w:val="30"/>
                <w:u w:val="none"/>
                <w:lang w:val="en-US" w:eastAsia="zh-CN" w:bidi="ar"/>
              </w:rPr>
              <w:t>5</w:t>
            </w:r>
          </w:p>
        </w:tc>
        <w:tc>
          <w:tcPr>
            <w:tcW w:w="858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仿宋_GB2312" w:eastAsia="仿宋_GB2312" w:cs="仿宋_GB2312"/>
                <w:color w:val="000000"/>
                <w:kern w:val="0"/>
                <w:sz w:val="30"/>
                <w:szCs w:val="30"/>
                <w:lang w:bidi="ar"/>
              </w:rPr>
            </w:pPr>
            <w:r>
              <w:rPr>
                <w:rFonts w:hint="eastAsia" w:ascii="仿宋_GB2312" w:hAnsi="仿宋_GB2312" w:eastAsia="仿宋_GB2312" w:cs="仿宋_GB2312"/>
                <w:color w:val="000000"/>
                <w:kern w:val="0"/>
                <w:sz w:val="30"/>
                <w:szCs w:val="30"/>
                <w:lang w:bidi="ar"/>
              </w:rPr>
              <w:t>人工智能与科技深度融合的学科发展新路径研究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6</w:t>
            </w:r>
          </w:p>
        </w:tc>
        <w:tc>
          <w:tcPr>
            <w:tcW w:w="858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教育数字化转型发展研究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7</w:t>
            </w:r>
          </w:p>
        </w:tc>
        <w:tc>
          <w:tcPr>
            <w:tcW w:w="858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人工智能赋能教师教学的策略研究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8</w:t>
            </w:r>
          </w:p>
        </w:tc>
        <w:tc>
          <w:tcPr>
            <w:tcW w:w="858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新型智慧校园建设模式与路径研究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9</w:t>
            </w:r>
          </w:p>
        </w:tc>
        <w:tc>
          <w:tcPr>
            <w:tcW w:w="858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上海市教育经费投入机制优化研究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10</w:t>
            </w:r>
          </w:p>
        </w:tc>
        <w:tc>
          <w:tcPr>
            <w:tcW w:w="858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新时期发展性资助育人新机制研究</w:t>
            </w:r>
          </w:p>
        </w:tc>
      </w:tr>
      <w:tr>
        <w:tblPrEx>
          <w:tblCellMar>
            <w:top w:w="0" w:type="dxa"/>
            <w:left w:w="108" w:type="dxa"/>
            <w:bottom w:w="0" w:type="dxa"/>
            <w:right w:w="108" w:type="dxa"/>
          </w:tblCellMar>
        </w:tblPrEx>
        <w:trPr>
          <w:trHeight w:val="36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11</w:t>
            </w:r>
          </w:p>
        </w:tc>
        <w:tc>
          <w:tcPr>
            <w:tcW w:w="858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数字化技术赋能学生心理危机干预的实践研究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12</w:t>
            </w:r>
          </w:p>
        </w:tc>
        <w:tc>
          <w:tcPr>
            <w:tcW w:w="858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大学校园开放的综合治理策略研究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13</w:t>
            </w:r>
          </w:p>
        </w:tc>
        <w:tc>
          <w:tcPr>
            <w:tcW w:w="858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中小学科学教育长效机制研究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14</w:t>
            </w:r>
          </w:p>
        </w:tc>
        <w:tc>
          <w:tcPr>
            <w:tcW w:w="858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智能技术融入高技能人才培养的模式及路径研究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15</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新时代职业教育课堂教学创新研究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16</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上海新型高职发展质量保障体系研究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17</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中小学教师流动的国际比较研究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18</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上海民办基础教育提质扩优策略研究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30"/>
                <w:szCs w:val="30"/>
                <w:lang w:bidi="ar"/>
              </w:rPr>
            </w:pPr>
            <w:r>
              <w:rPr>
                <w:rFonts w:hint="eastAsia" w:ascii="仿宋_GB2312" w:hAnsi="仿宋_GB2312" w:eastAsia="仿宋_GB2312" w:cs="仿宋_GB2312"/>
                <w:i w:val="0"/>
                <w:iCs w:val="0"/>
                <w:color w:val="000000"/>
                <w:kern w:val="0"/>
                <w:sz w:val="30"/>
                <w:szCs w:val="30"/>
                <w:u w:val="none"/>
                <w:lang w:val="en-US" w:eastAsia="zh-CN" w:bidi="ar"/>
              </w:rPr>
              <w:t>19</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kern w:val="0"/>
                <w:sz w:val="30"/>
                <w:szCs w:val="30"/>
                <w:lang w:bidi="ar"/>
              </w:rPr>
            </w:pPr>
            <w:r>
              <w:rPr>
                <w:rFonts w:hint="eastAsia" w:ascii="仿宋_GB2312" w:hAnsi="仿宋_GB2312" w:eastAsia="仿宋_GB2312" w:cs="仿宋_GB2312"/>
                <w:color w:val="auto"/>
                <w:kern w:val="0"/>
                <w:sz w:val="30"/>
                <w:szCs w:val="30"/>
                <w:lang w:bidi="ar"/>
              </w:rPr>
              <w:t>基础教育的未来学习范式研究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20</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基础教育“小规模学校”办学质量提升研究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21</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义务教育阶段集团化办学评价机制研究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22</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数智赋能的中小学教材形态与建设策略研究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23</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中小学教学数字化转型的实践研究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0"/>
                <w:szCs w:val="30"/>
                <w:u w:val="none"/>
                <w:lang w:val="en-US" w:eastAsia="zh-CN" w:bidi="ar"/>
              </w:rPr>
            </w:pPr>
            <w:r>
              <w:rPr>
                <w:rFonts w:hint="eastAsia" w:ascii="仿宋_GB2312" w:hAnsi="仿宋_GB2312" w:eastAsia="仿宋_GB2312" w:cs="仿宋_GB2312"/>
                <w:i w:val="0"/>
                <w:iCs w:val="0"/>
                <w:color w:val="000000"/>
                <w:kern w:val="0"/>
                <w:sz w:val="30"/>
                <w:szCs w:val="30"/>
                <w:u w:val="none"/>
                <w:lang w:val="en-US" w:eastAsia="zh-CN" w:bidi="ar"/>
              </w:rPr>
              <w:t>24</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kern w:val="2"/>
                <w:sz w:val="30"/>
                <w:szCs w:val="30"/>
                <w:lang w:val="en-US" w:eastAsia="zh-CN" w:bidi="ar-SA"/>
              </w:rPr>
            </w:pPr>
            <w:r>
              <w:rPr>
                <w:rFonts w:hint="eastAsia" w:ascii="仿宋_GB2312" w:hAnsi="仿宋_GB2312" w:eastAsia="仿宋_GB2312" w:cs="仿宋_GB2312"/>
                <w:color w:val="000000"/>
                <w:kern w:val="0"/>
                <w:sz w:val="30"/>
                <w:szCs w:val="30"/>
                <w:lang w:bidi="ar"/>
              </w:rPr>
              <w:t>基于行为改变技术的专门学校学生发展性评估研究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0"/>
                <w:szCs w:val="30"/>
                <w:u w:val="none"/>
                <w:lang w:val="en-US" w:eastAsia="zh-CN" w:bidi="ar"/>
              </w:rPr>
            </w:pPr>
            <w:r>
              <w:rPr>
                <w:rFonts w:hint="eastAsia" w:ascii="仿宋_GB2312" w:hAnsi="仿宋_GB2312" w:eastAsia="仿宋_GB2312" w:cs="仿宋_GB2312"/>
                <w:i w:val="0"/>
                <w:iCs w:val="0"/>
                <w:color w:val="000000"/>
                <w:kern w:val="0"/>
                <w:sz w:val="30"/>
                <w:szCs w:val="30"/>
                <w:u w:val="none"/>
                <w:lang w:val="en-US" w:eastAsia="zh-CN" w:bidi="ar"/>
              </w:rPr>
              <w:t>25</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kern w:val="2"/>
                <w:sz w:val="30"/>
                <w:szCs w:val="30"/>
                <w:lang w:val="en-US" w:eastAsia="zh-CN" w:bidi="ar-SA"/>
              </w:rPr>
            </w:pPr>
            <w:r>
              <w:rPr>
                <w:rFonts w:hint="eastAsia" w:ascii="仿宋_GB2312" w:hAnsi="仿宋_GB2312" w:eastAsia="仿宋_GB2312" w:cs="仿宋_GB2312"/>
                <w:color w:val="000000"/>
                <w:kern w:val="0"/>
                <w:sz w:val="30"/>
                <w:szCs w:val="30"/>
                <w:lang w:bidi="ar"/>
              </w:rPr>
              <w:t>学生欺凌防治及规制研究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30"/>
                <w:szCs w:val="30"/>
                <w:u w:val="none"/>
                <w:lang w:val="en-US" w:eastAsia="zh-CN" w:bidi="ar"/>
              </w:rPr>
            </w:pPr>
            <w:r>
              <w:rPr>
                <w:rFonts w:hint="eastAsia" w:ascii="仿宋_GB2312" w:hAnsi="仿宋_GB2312" w:eastAsia="仿宋_GB2312" w:cs="仿宋_GB2312"/>
                <w:i w:val="0"/>
                <w:iCs w:val="0"/>
                <w:color w:val="000000"/>
                <w:kern w:val="0"/>
                <w:sz w:val="30"/>
                <w:szCs w:val="30"/>
                <w:u w:val="none"/>
                <w:lang w:val="en-US" w:eastAsia="zh-CN" w:bidi="ar"/>
              </w:rPr>
              <w:t>26</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bidi="ar"/>
              </w:rPr>
              <w:t>促进义务教育高质量发展的增值评价研究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27</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工程硕博士培养跟踪研究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28</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人工智能时代高校教师专业发展研究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29</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高校科技创新平台的高水平建设在实践研究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30</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高校基础研究范式转型研究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31</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大学科技园现状分析及改革对策研究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32</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高校科技成果高质量转化的路径研究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33</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高校产学研新型合作机制研究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34</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协同育人视域下推进高校辅导员队伍建设研究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35</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高校后勤保障服务模式创新研究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36</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加快建设高校高水平人才高地路径研究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olor w:val="000000"/>
                <w:kern w:val="0"/>
                <w:sz w:val="30"/>
                <w:szCs w:val="30"/>
                <w:u w:val="none"/>
                <w:lang w:val="en-US" w:eastAsia="zh-CN" w:bidi="ar"/>
              </w:rPr>
              <w:t>37</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kern w:val="0"/>
                <w:sz w:val="30"/>
                <w:szCs w:val="30"/>
                <w:lang w:bidi="ar"/>
              </w:rPr>
              <w:t>高校优化高层次人才引育机制研究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i w:val="0"/>
                <w:iCs w:val="0"/>
                <w:color w:val="000000"/>
                <w:kern w:val="0"/>
                <w:sz w:val="30"/>
                <w:szCs w:val="30"/>
                <w:u w:val="none"/>
                <w:lang w:val="en-US" w:eastAsia="zh-CN" w:bidi="ar"/>
              </w:rPr>
              <w:t>38</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kern w:val="0"/>
                <w:sz w:val="30"/>
                <w:szCs w:val="30"/>
                <w:lang w:bidi="ar"/>
              </w:rPr>
            </w:pPr>
            <w:r>
              <w:rPr>
                <w:rFonts w:hint="eastAsia" w:ascii="仿宋_GB2312" w:hAnsi="仿宋_GB2312" w:eastAsia="仿宋_GB2312" w:cs="仿宋_GB2312"/>
                <w:color w:val="000000"/>
                <w:kern w:val="0"/>
                <w:sz w:val="30"/>
                <w:szCs w:val="30"/>
                <w:lang w:bidi="ar"/>
              </w:rPr>
              <w:t>教育强国背景下行业高职改革发展研究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i w:val="0"/>
                <w:iCs w:val="0"/>
                <w:color w:val="000000"/>
                <w:kern w:val="0"/>
                <w:sz w:val="30"/>
                <w:szCs w:val="30"/>
                <w:u w:val="none"/>
                <w:lang w:val="en-US" w:eastAsia="zh-CN" w:bidi="ar"/>
              </w:rPr>
              <w:t>39</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color w:val="000000"/>
                <w:kern w:val="0"/>
                <w:sz w:val="30"/>
                <w:szCs w:val="30"/>
                <w:lang w:bidi="ar"/>
              </w:rPr>
            </w:pPr>
            <w:r>
              <w:rPr>
                <w:rFonts w:hint="eastAsia" w:ascii="仿宋_GB2312" w:hAnsi="仿宋_GB2312" w:eastAsia="仿宋_GB2312" w:cs="仿宋_GB2312"/>
                <w:color w:val="000000"/>
                <w:kern w:val="0"/>
                <w:sz w:val="30"/>
                <w:szCs w:val="30"/>
                <w:lang w:bidi="ar"/>
              </w:rPr>
              <w:t>中国式现代化导向下民办教育改革发展研究</w:t>
            </w:r>
          </w:p>
        </w:tc>
      </w:tr>
      <w:tr>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i w:val="0"/>
                <w:iCs w:val="0"/>
                <w:color w:val="000000"/>
                <w:kern w:val="0"/>
                <w:sz w:val="30"/>
                <w:szCs w:val="30"/>
                <w:u w:val="none"/>
                <w:lang w:val="en-US" w:eastAsia="zh-CN" w:bidi="ar"/>
              </w:rPr>
              <w:t>40</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b w:val="0"/>
                <w:bCs w:val="0"/>
                <w:color w:val="auto"/>
                <w:kern w:val="0"/>
                <w:sz w:val="30"/>
                <w:szCs w:val="30"/>
                <w:lang w:eastAsia="zh-CN" w:bidi="ar"/>
              </w:rPr>
            </w:pPr>
            <w:r>
              <w:rPr>
                <w:rFonts w:hint="eastAsia" w:ascii="仿宋_GB2312" w:hAnsi="仿宋_GB2312" w:eastAsia="仿宋_GB2312" w:cs="仿宋_GB2312"/>
                <w:b w:val="0"/>
                <w:bCs w:val="0"/>
                <w:color w:val="auto"/>
                <w:kern w:val="0"/>
                <w:sz w:val="30"/>
                <w:szCs w:val="30"/>
                <w:lang w:eastAsia="zh-CN" w:bidi="ar"/>
              </w:rPr>
              <w:t>高校年轻干部树立和践行正确政绩观研究</w:t>
            </w:r>
          </w:p>
        </w:tc>
      </w:tr>
      <w:tr>
        <w:tblPrEx>
          <w:tblCellMar>
            <w:top w:w="0" w:type="dxa"/>
            <w:left w:w="108" w:type="dxa"/>
            <w:bottom w:w="0" w:type="dxa"/>
            <w:right w:w="108" w:type="dxa"/>
          </w:tblCellMar>
        </w:tblPrEx>
        <w:trPr>
          <w:trHeight w:val="400" w:hRule="atLeast"/>
          <w:jc w:val="center"/>
        </w:trPr>
        <w:tc>
          <w:tcPr>
            <w:tcW w:w="6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i w:val="0"/>
                <w:iCs w:val="0"/>
                <w:color w:val="000000"/>
                <w:kern w:val="0"/>
                <w:sz w:val="30"/>
                <w:szCs w:val="30"/>
                <w:u w:val="none"/>
                <w:lang w:val="en-US" w:eastAsia="zh-CN" w:bidi="ar"/>
              </w:rPr>
              <w:t>41</w:t>
            </w:r>
          </w:p>
        </w:tc>
        <w:tc>
          <w:tcPr>
            <w:tcW w:w="8582" w:type="dxa"/>
            <w:tcBorders>
              <w:top w:val="single" w:color="000000" w:sz="4" w:space="0"/>
              <w:left w:val="single" w:color="000000" w:sz="4" w:space="0"/>
              <w:bottom w:val="single" w:color="000000" w:sz="4" w:space="0"/>
              <w:right w:val="single" w:color="000000" w:sz="4" w:space="0"/>
            </w:tcBorders>
            <w:noWrap w:val="0"/>
            <w:vAlign w:val="top"/>
          </w:tcPr>
          <w:p>
            <w:pPr>
              <w:widowControl/>
              <w:spacing w:line="560" w:lineRule="exact"/>
              <w:jc w:val="left"/>
              <w:textAlignment w:val="center"/>
              <w:rPr>
                <w:rFonts w:hint="eastAsia" w:ascii="仿宋_GB2312" w:hAnsi="仿宋_GB2312" w:eastAsia="仿宋_GB2312" w:cs="仿宋_GB2312"/>
                <w:b w:val="0"/>
                <w:bCs w:val="0"/>
                <w:color w:val="auto"/>
                <w:kern w:val="0"/>
                <w:sz w:val="30"/>
                <w:szCs w:val="30"/>
                <w:lang w:eastAsia="zh-CN" w:bidi="ar"/>
              </w:rPr>
            </w:pPr>
            <w:r>
              <w:rPr>
                <w:rFonts w:hint="eastAsia" w:ascii="仿宋_GB2312" w:hAnsi="仿宋_GB2312" w:eastAsia="仿宋_GB2312" w:cs="仿宋_GB2312"/>
                <w:b w:val="0"/>
                <w:bCs w:val="0"/>
                <w:color w:val="auto"/>
                <w:kern w:val="0"/>
                <w:sz w:val="30"/>
                <w:szCs w:val="30"/>
                <w:lang w:eastAsia="zh-CN" w:bidi="ar"/>
              </w:rPr>
              <w:t>高校年轻干部斗争精神和斗争本领养成研究</w:t>
            </w:r>
          </w:p>
        </w:tc>
      </w:tr>
    </w:tbl>
    <w:p>
      <w:pPr>
        <w:keepNext w:val="0"/>
        <w:keepLines w:val="0"/>
        <w:widowControl/>
        <w:suppressLineNumbers w:val="0"/>
        <w:jc w:val="left"/>
      </w:pPr>
    </w:p>
    <w:p>
      <w:pPr>
        <w:spacing w:after="156" w:afterLines="50" w:line="560" w:lineRule="exact"/>
        <w:ind w:firstLine="600" w:firstLineChars="200"/>
        <w:rPr>
          <w:rFonts w:hint="eastAsia" w:ascii="黑体" w:hAnsi="黑体" w:eastAsia="黑体"/>
          <w:sz w:val="30"/>
          <w:szCs w:val="30"/>
        </w:rPr>
      </w:pPr>
    </w:p>
    <w:p>
      <w:pPr>
        <w:adjustRightInd w:val="0"/>
        <w:snapToGrid w:val="0"/>
        <w:spacing w:line="560" w:lineRule="exact"/>
        <w:rPr>
          <w:rFonts w:ascii="仿宋_GB2312" w:eastAsia="仿宋_GB2312"/>
          <w:sz w:val="30"/>
          <w:szCs w:val="30"/>
        </w:rPr>
      </w:pPr>
    </w:p>
    <w:p>
      <w:pPr>
        <w:adjustRightInd w:val="0"/>
        <w:snapToGrid w:val="0"/>
        <w:spacing w:line="560" w:lineRule="exact"/>
        <w:ind w:firstLine="630"/>
        <w:jc w:val="right"/>
        <w:rPr>
          <w:rFonts w:hAnsi="华文仿宋" w:eastAsia="华文仿宋"/>
          <w:sz w:val="30"/>
          <w:szCs w:val="30"/>
        </w:rPr>
      </w:pPr>
    </w:p>
    <w:p>
      <w:pPr>
        <w:spacing w:line="560" w:lineRule="exact"/>
        <w:ind w:right="361" w:firstLine="4650" w:firstLineChars="1550"/>
        <w:rPr>
          <w:rFonts w:ascii="仿宋_GB2312" w:eastAsia="仿宋_GB2312"/>
          <w:sz w:val="30"/>
          <w:szCs w:val="30"/>
        </w:rPr>
      </w:pPr>
    </w:p>
    <w:p>
      <w:pPr>
        <w:spacing w:line="560" w:lineRule="exact"/>
        <w:ind w:right="361" w:firstLine="4650" w:firstLineChars="1550"/>
        <w:rPr>
          <w:rFonts w:ascii="仿宋_GB2312" w:eastAsia="仿宋_GB2312"/>
          <w:sz w:val="30"/>
          <w:szCs w:val="30"/>
        </w:rPr>
      </w:pPr>
    </w:p>
    <w:p>
      <w:pPr>
        <w:spacing w:line="560" w:lineRule="exact"/>
        <w:ind w:right="361" w:firstLine="4650" w:firstLineChars="1550"/>
        <w:rPr>
          <w:rFonts w:ascii="仿宋_GB2312" w:eastAsia="仿宋_GB2312"/>
          <w:sz w:val="30"/>
          <w:szCs w:val="30"/>
        </w:rPr>
      </w:pPr>
    </w:p>
    <w:p>
      <w:pPr>
        <w:spacing w:line="560" w:lineRule="exact"/>
        <w:ind w:right="361" w:firstLine="4650" w:firstLineChars="1550"/>
        <w:rPr>
          <w:rFonts w:ascii="仿宋_GB2312" w:eastAsia="仿宋_GB2312"/>
          <w:sz w:val="30"/>
          <w:szCs w:val="30"/>
        </w:rPr>
      </w:pPr>
    </w:p>
    <w:p>
      <w:pPr>
        <w:spacing w:line="560" w:lineRule="exact"/>
        <w:ind w:right="361" w:firstLine="4650" w:firstLineChars="1550"/>
        <w:rPr>
          <w:rFonts w:ascii="仿宋_GB2312" w:eastAsia="仿宋_GB2312"/>
          <w:sz w:val="30"/>
          <w:szCs w:val="30"/>
        </w:rPr>
      </w:pPr>
    </w:p>
    <w:p>
      <w:pPr>
        <w:spacing w:line="560" w:lineRule="exact"/>
        <w:ind w:right="361" w:firstLine="4650" w:firstLineChars="1550"/>
        <w:rPr>
          <w:rFonts w:ascii="仿宋_GB2312" w:eastAsia="仿宋_GB2312"/>
          <w:sz w:val="30"/>
          <w:szCs w:val="30"/>
        </w:rPr>
      </w:pPr>
    </w:p>
    <w:p>
      <w:pPr>
        <w:spacing w:line="560" w:lineRule="exact"/>
        <w:rPr>
          <w:rFonts w:ascii="仿宋_GB2312" w:hAnsi="仿宋_GB2312" w:eastAsia="仿宋_GB2312"/>
          <w:sz w:val="30"/>
          <w:szCs w:val="30"/>
        </w:rPr>
      </w:pPr>
    </w:p>
    <w:tbl>
      <w:tblPr>
        <w:tblStyle w:val="4"/>
        <w:tblpPr w:leftFromText="180" w:rightFromText="180" w:vertAnchor="text" w:horzAnchor="margin" w:tblpY="6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68"/>
        <w:gridCol w:w="4680"/>
        <w:gridCol w:w="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7" w:type="dxa"/>
            <w:gridSpan w:val="3"/>
            <w:tcBorders>
              <w:top w:val="single" w:color="auto" w:sz="12" w:space="0"/>
              <w:left w:val="nil"/>
              <w:bottom w:val="single" w:color="auto" w:sz="4" w:space="0"/>
              <w:right w:val="nil"/>
            </w:tcBorders>
            <w:noWrap w:val="0"/>
            <w:vAlign w:val="top"/>
          </w:tcPr>
          <w:p>
            <w:pPr>
              <w:spacing w:line="560" w:lineRule="exact"/>
              <w:ind w:firstLine="280" w:firstLineChars="100"/>
              <w:rPr>
                <w:rFonts w:ascii="黑体" w:eastAsia="黑体"/>
                <w:sz w:val="28"/>
                <w:szCs w:val="28"/>
              </w:rPr>
            </w:pPr>
            <w:r>
              <w:rPr>
                <w:rFonts w:hint="eastAsia" w:ascii="仿宋_GB2312" w:eastAsia="仿宋_GB2312"/>
                <w:sz w:val="28"/>
                <w:szCs w:val="28"/>
              </w:rPr>
              <w:t>抄送：</w:t>
            </w:r>
            <w:r>
              <w:rPr>
                <w:rFonts w:hint="eastAsia" w:ascii="仿宋_GB2312" w:eastAsia="仿宋_GB2312"/>
                <w:sz w:val="28"/>
                <w:szCs w:val="28"/>
                <w:lang w:val="en-US" w:eastAsia="zh-CN"/>
              </w:rPr>
              <w:t>上海市教科规划办</w:t>
            </w:r>
            <w:r>
              <w:rPr>
                <w:rFonts w:hint="eastAsia" w:ascii="仿宋_GB2312" w:eastAsia="仿宋_GB2312"/>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68" w:type="dxa"/>
            <w:tcBorders>
              <w:left w:val="nil"/>
              <w:bottom w:val="single" w:color="auto" w:sz="12" w:space="0"/>
              <w:right w:val="nil"/>
            </w:tcBorders>
            <w:noWrap w:val="0"/>
            <w:vAlign w:val="top"/>
          </w:tcPr>
          <w:p>
            <w:pPr>
              <w:spacing w:line="560" w:lineRule="exact"/>
              <w:ind w:firstLine="280" w:firstLineChars="100"/>
              <w:rPr>
                <w:rFonts w:ascii="黑体" w:eastAsia="黑体"/>
                <w:sz w:val="28"/>
                <w:szCs w:val="28"/>
              </w:rPr>
            </w:pPr>
            <w:r>
              <w:rPr>
                <w:rFonts w:hint="eastAsia" w:ascii="仿宋_GB2312" w:eastAsia="仿宋_GB2312"/>
                <w:sz w:val="28"/>
                <w:szCs w:val="28"/>
              </w:rPr>
              <w:t>上海市教育委员会办公室</w:t>
            </w:r>
          </w:p>
        </w:tc>
        <w:tc>
          <w:tcPr>
            <w:tcW w:w="4680" w:type="dxa"/>
            <w:tcBorders>
              <w:left w:val="nil"/>
              <w:bottom w:val="single" w:color="auto" w:sz="12" w:space="0"/>
              <w:right w:val="nil"/>
            </w:tcBorders>
            <w:noWrap w:val="0"/>
            <w:vAlign w:val="top"/>
          </w:tcPr>
          <w:p>
            <w:pPr>
              <w:spacing w:line="560" w:lineRule="exact"/>
              <w:jc w:val="right"/>
              <w:rPr>
                <w:rFonts w:ascii="黑体" w:eastAsia="黑体"/>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w:t>
            </w:r>
            <w:r>
              <w:rPr>
                <w:rFonts w:hint="eastAsia" w:ascii="仿宋_GB2312" w:eastAsia="仿宋_GB2312"/>
                <w:sz w:val="28"/>
                <w:szCs w:val="28"/>
                <w:lang w:val="en-US" w:eastAsia="zh-CN"/>
              </w:rPr>
              <w:t>6</w:t>
            </w:r>
            <w:r>
              <w:rPr>
                <w:rFonts w:hint="eastAsia" w:ascii="仿宋_GB2312" w:eastAsia="仿宋_GB2312"/>
                <w:sz w:val="28"/>
                <w:szCs w:val="28"/>
              </w:rPr>
              <w:t>月</w:t>
            </w:r>
            <w:r>
              <w:rPr>
                <w:rFonts w:hint="eastAsia" w:ascii="仿宋_GB2312" w:eastAsia="仿宋_GB2312"/>
                <w:sz w:val="28"/>
                <w:szCs w:val="28"/>
                <w:lang w:val="en-US" w:eastAsia="zh-CN"/>
              </w:rPr>
              <w:t>21</w:t>
            </w:r>
            <w:r>
              <w:rPr>
                <w:rFonts w:hint="eastAsia" w:ascii="仿宋_GB2312" w:eastAsia="仿宋_GB2312"/>
                <w:sz w:val="28"/>
                <w:szCs w:val="28"/>
              </w:rPr>
              <w:t>日印发</w:t>
            </w:r>
          </w:p>
        </w:tc>
        <w:tc>
          <w:tcPr>
            <w:tcW w:w="289" w:type="dxa"/>
            <w:tcBorders>
              <w:left w:val="nil"/>
              <w:bottom w:val="single" w:color="auto" w:sz="12" w:space="0"/>
              <w:right w:val="nil"/>
            </w:tcBorders>
            <w:noWrap w:val="0"/>
            <w:vAlign w:val="top"/>
          </w:tcPr>
          <w:p>
            <w:pPr>
              <w:spacing w:line="560" w:lineRule="exact"/>
              <w:ind w:right="359" w:rightChars="171"/>
              <w:jc w:val="right"/>
              <w:rPr>
                <w:rFonts w:ascii="黑体" w:eastAsia="黑体"/>
                <w:sz w:val="28"/>
                <w:szCs w:val="28"/>
              </w:rPr>
            </w:pPr>
          </w:p>
        </w:tc>
      </w:tr>
    </w:tbl>
    <w:p>
      <w:pPr>
        <w:spacing w:line="540" w:lineRule="exact"/>
        <w:jc w:val="left"/>
        <w:rPr>
          <w:rFonts w:ascii="仿宋_GB2312" w:eastAsia="仿宋_GB2312"/>
          <w:sz w:val="30"/>
          <w:szCs w:val="30"/>
        </w:rPr>
      </w:pPr>
    </w:p>
    <w:sectPr>
      <w:footerReference r:id="rId3" w:type="default"/>
      <w:footerReference r:id="rId4" w:type="even"/>
      <w:pgSz w:w="11906" w:h="16838"/>
      <w:pgMar w:top="2098" w:right="1508" w:bottom="1714" w:left="1520" w:header="851" w:footer="1418" w:gutter="57"/>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黑体">
    <w:altName w:val="方正黑体_GBK"/>
    <w:panose1 w:val="02010609060101010101"/>
    <w:charset w:val="00"/>
    <w:family w:val="auto"/>
    <w:pitch w:val="default"/>
    <w:sig w:usb0="800002BF" w:usb1="38CF7CFA"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文鼎大标宋简">
    <w:altName w:val="方正书宋_GBK"/>
    <w:panose1 w:val="00000000000000000000"/>
    <w:charset w:val="00"/>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仿宋">
    <w:altName w:val="方正仿宋_GBK"/>
    <w:panose1 w:val="02010600040101010101"/>
    <w:charset w:val="00"/>
    <w:family w:val="auto"/>
    <w:pitch w:val="default"/>
    <w:sig w:usb0="00000000" w:usb1="00000000" w:usb2="00000010" w:usb3="00000000" w:csb0="0004009F" w:csb1="00000000"/>
  </w:font>
  <w:font w:name="方正仿宋_GBK">
    <w:panose1 w:val="02000000000000000000"/>
    <w:charset w:val="86"/>
    <w:family w:val="auto"/>
    <w:pitch w:val="default"/>
    <w:sig w:usb0="00000001" w:usb1="08000000" w:usb2="00000000" w:usb3="00000000" w:csb0="00040000" w:csb1="00000000"/>
  </w:font>
  <w:font w:name="微软雅黑">
    <w:altName w:val="方正黑体_GBK"/>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ascii="宋体" w:hAnsi="宋体"/>
        <w:sz w:val="28"/>
      </w:rPr>
    </w:pPr>
    <w:r>
      <w:rPr>
        <w:rStyle w:val="6"/>
        <w:rFonts w:hint="eastAsia" w:ascii="宋体" w:hAnsi="宋体"/>
        <w:sz w:val="28"/>
      </w:rPr>
      <w:t xml:space="preserve">—  </w:t>
    </w:r>
    <w:r>
      <w:rPr>
        <w:rStyle w:val="6"/>
        <w:rFonts w:ascii="宋体" w:hAnsi="宋体"/>
        <w:sz w:val="28"/>
      </w:rPr>
      <w:fldChar w:fldCharType="begin"/>
    </w:r>
    <w:r>
      <w:rPr>
        <w:rStyle w:val="6"/>
        <w:rFonts w:ascii="宋体" w:hAnsi="宋体"/>
        <w:sz w:val="28"/>
      </w:rPr>
      <w:instrText xml:space="preserve">PAGE  </w:instrText>
    </w:r>
    <w:r>
      <w:rPr>
        <w:rStyle w:val="6"/>
        <w:rFonts w:ascii="宋体" w:hAnsi="宋体"/>
        <w:sz w:val="28"/>
      </w:rPr>
      <w:fldChar w:fldCharType="separate"/>
    </w:r>
    <w:r>
      <w:rPr>
        <w:rStyle w:val="6"/>
        <w:rFonts w:ascii="宋体" w:hAnsi="宋体"/>
        <w:sz w:val="28"/>
      </w:rPr>
      <w:t>2</w:t>
    </w:r>
    <w:r>
      <w:rPr>
        <w:rStyle w:val="6"/>
        <w:rFonts w:ascii="宋体" w:hAnsi="宋体"/>
        <w:sz w:val="28"/>
      </w:rPr>
      <w:fldChar w:fldCharType="end"/>
    </w:r>
    <w:r>
      <w:rPr>
        <w:rStyle w:val="6"/>
        <w:rFonts w:hint="eastAsia" w:ascii="宋体" w:hAnsi="宋体"/>
        <w:sz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5"/>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EDB18"/>
    <w:rsid w:val="00024907"/>
    <w:rsid w:val="00035F05"/>
    <w:rsid w:val="00056EC1"/>
    <w:rsid w:val="00094FC4"/>
    <w:rsid w:val="000C226B"/>
    <w:rsid w:val="000F348C"/>
    <w:rsid w:val="00112C10"/>
    <w:rsid w:val="001354D5"/>
    <w:rsid w:val="00144DFA"/>
    <w:rsid w:val="00145BD0"/>
    <w:rsid w:val="00183763"/>
    <w:rsid w:val="001A1D49"/>
    <w:rsid w:val="001B3025"/>
    <w:rsid w:val="001C0F96"/>
    <w:rsid w:val="001F5455"/>
    <w:rsid w:val="00252A00"/>
    <w:rsid w:val="00286A3E"/>
    <w:rsid w:val="00294260"/>
    <w:rsid w:val="002A230A"/>
    <w:rsid w:val="002A3CE4"/>
    <w:rsid w:val="002C7F1A"/>
    <w:rsid w:val="002D3402"/>
    <w:rsid w:val="002D4EF5"/>
    <w:rsid w:val="002D71E3"/>
    <w:rsid w:val="00303E9B"/>
    <w:rsid w:val="00312076"/>
    <w:rsid w:val="003D3AB4"/>
    <w:rsid w:val="003D6DDA"/>
    <w:rsid w:val="003E4FAD"/>
    <w:rsid w:val="00414340"/>
    <w:rsid w:val="00444F67"/>
    <w:rsid w:val="004477E0"/>
    <w:rsid w:val="004806AD"/>
    <w:rsid w:val="00492148"/>
    <w:rsid w:val="004978BF"/>
    <w:rsid w:val="004A7871"/>
    <w:rsid w:val="004A7C58"/>
    <w:rsid w:val="004B14C9"/>
    <w:rsid w:val="004C141B"/>
    <w:rsid w:val="005155AB"/>
    <w:rsid w:val="005927B4"/>
    <w:rsid w:val="005D6055"/>
    <w:rsid w:val="005E0EB6"/>
    <w:rsid w:val="005F4E0C"/>
    <w:rsid w:val="006078B9"/>
    <w:rsid w:val="00611F21"/>
    <w:rsid w:val="00623312"/>
    <w:rsid w:val="00625F17"/>
    <w:rsid w:val="006634B4"/>
    <w:rsid w:val="00667B97"/>
    <w:rsid w:val="00680FA6"/>
    <w:rsid w:val="006852C3"/>
    <w:rsid w:val="006B4CA1"/>
    <w:rsid w:val="006C28B5"/>
    <w:rsid w:val="006E32CC"/>
    <w:rsid w:val="00701799"/>
    <w:rsid w:val="00702C25"/>
    <w:rsid w:val="0070452F"/>
    <w:rsid w:val="00704548"/>
    <w:rsid w:val="0074038F"/>
    <w:rsid w:val="00745286"/>
    <w:rsid w:val="00754887"/>
    <w:rsid w:val="00760FBF"/>
    <w:rsid w:val="0078034F"/>
    <w:rsid w:val="007B5579"/>
    <w:rsid w:val="007D2CE1"/>
    <w:rsid w:val="007D5333"/>
    <w:rsid w:val="0080616E"/>
    <w:rsid w:val="00896677"/>
    <w:rsid w:val="008A74FF"/>
    <w:rsid w:val="008E3D77"/>
    <w:rsid w:val="008F76D4"/>
    <w:rsid w:val="0090062F"/>
    <w:rsid w:val="00906540"/>
    <w:rsid w:val="009356BA"/>
    <w:rsid w:val="00955071"/>
    <w:rsid w:val="009717CD"/>
    <w:rsid w:val="009855E9"/>
    <w:rsid w:val="0099273C"/>
    <w:rsid w:val="009A5209"/>
    <w:rsid w:val="009D5141"/>
    <w:rsid w:val="009F098D"/>
    <w:rsid w:val="00A0587E"/>
    <w:rsid w:val="00A25ED1"/>
    <w:rsid w:val="00A31E83"/>
    <w:rsid w:val="00A458A8"/>
    <w:rsid w:val="00A47378"/>
    <w:rsid w:val="00A82097"/>
    <w:rsid w:val="00A97E74"/>
    <w:rsid w:val="00AA2AD8"/>
    <w:rsid w:val="00AA6013"/>
    <w:rsid w:val="00B03BDD"/>
    <w:rsid w:val="00B36E68"/>
    <w:rsid w:val="00B409C3"/>
    <w:rsid w:val="00B5787D"/>
    <w:rsid w:val="00BC3863"/>
    <w:rsid w:val="00BD4122"/>
    <w:rsid w:val="00C006C8"/>
    <w:rsid w:val="00C452CA"/>
    <w:rsid w:val="00C56E44"/>
    <w:rsid w:val="00C70473"/>
    <w:rsid w:val="00CD2925"/>
    <w:rsid w:val="00CD3591"/>
    <w:rsid w:val="00CE0901"/>
    <w:rsid w:val="00D0710F"/>
    <w:rsid w:val="00D50530"/>
    <w:rsid w:val="00D51BBA"/>
    <w:rsid w:val="00D540F3"/>
    <w:rsid w:val="00D7185A"/>
    <w:rsid w:val="00DE3403"/>
    <w:rsid w:val="00EA3773"/>
    <w:rsid w:val="00ED3BF6"/>
    <w:rsid w:val="00EF69E5"/>
    <w:rsid w:val="00F90E73"/>
    <w:rsid w:val="00FE259A"/>
    <w:rsid w:val="00FF63C3"/>
    <w:rsid w:val="5FEEDB18"/>
    <w:rsid w:val="EF5BC255"/>
    <w:rsid w:val="FBFE63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Style w:val="4"/>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styleId="7">
    <w:name w:val="List Paragraph"/>
    <w:basedOn w:val="1"/>
    <w:qFormat/>
    <w:uiPriority w:val="34"/>
    <w:pPr>
      <w:ind w:firstLine="420" w:firstLineChars="200"/>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jw3218/Desktop/2024&#24180;&#25991;&#20214;&#27169;&#26495;/&#20844;&#2599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公文.dot</Template>
  <Pages>2</Pages>
  <Words>61</Words>
  <Characters>70</Characters>
  <Lines>1</Lines>
  <Paragraphs>1</Paragraphs>
  <TotalTime>5</TotalTime>
  <ScaleCrop>false</ScaleCrop>
  <LinksUpToDate>false</LinksUpToDate>
  <CharactersWithSpaces>104</CharactersWithSpaces>
  <Application>WPS Office_11.8.2.1131_F1E327BC-269C-435d-A152-05C5408002CA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2024-06-21T14:11:00Z</dcterms:created>
  <dc:creator>李倩</dc:creator>
  <cp:lastModifiedBy>李倩</cp:lastModifiedBy>
  <cp:lastPrinted>2024-06-21T14:15:04Z</cp:lastPrinted>
  <dcterms:modified xsi:type="dcterms:W3CDTF">2024-06-21T14:18:07Z</dcterms:modified>
  <dc:title>沪教委〔2001〕号                   签发人：</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2052-11.8.2.1131</vt:lpwstr>
  </property>
  <property fmtid="{D5CDD505-2E9C-101B-9397-08002B2CF9AE}" pid="3" name="ICV">
    <vt:lpwstr>790DC121234785B9AC1975660C633ABC</vt:lpwstr>
  </property>
</Properties>
</file>